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76F11" w14:textId="77777777" w:rsidR="00335146" w:rsidRDefault="00335146" w:rsidP="00A34B5E">
      <w:pPr>
        <w:ind w:right="2686"/>
        <w:rPr>
          <w:rFonts w:ascii="Gill Sans MT" w:hAnsi="Gill Sans MT" w:cs="Arial"/>
          <w:b/>
          <w:lang w:val="en-US"/>
        </w:rPr>
      </w:pPr>
      <w:bookmarkStart w:id="0" w:name="_Toc518238466"/>
      <w:r w:rsidRPr="00335146">
        <w:rPr>
          <w:rFonts w:ascii="Gill Sans MT" w:hAnsi="Gill Sans MT" w:cs="Arial"/>
          <w:b/>
          <w:lang w:val="en-US"/>
        </w:rPr>
        <w:t>Young People's Willingness to Pay for Healthy and Functional Products: An Analysis of Their Choice Preferences</w:t>
      </w:r>
    </w:p>
    <w:p w14:paraId="36BC8454" w14:textId="77777777" w:rsidR="00EE42F4" w:rsidRPr="00A34B5E" w:rsidRDefault="00EE42F4" w:rsidP="003D3AC7">
      <w:pPr>
        <w:ind w:right="2686"/>
        <w:rPr>
          <w:rFonts w:ascii="Gill Sans MT" w:hAnsi="Gill Sans MT" w:cs="Arial"/>
          <w:b/>
          <w:lang w:val="en-US"/>
        </w:rPr>
      </w:pPr>
    </w:p>
    <w:bookmarkEnd w:id="0"/>
    <w:p w14:paraId="1CB0D392" w14:textId="77777777" w:rsidR="00335146" w:rsidRPr="00335146" w:rsidRDefault="00335146" w:rsidP="00335146">
      <w:pPr>
        <w:ind w:right="2686"/>
        <w:rPr>
          <w:rFonts w:ascii="Gill Sans MT" w:hAnsi="Gill Sans MT" w:cs="Arial"/>
          <w:b/>
          <w:sz w:val="20"/>
          <w:szCs w:val="20"/>
        </w:rPr>
      </w:pPr>
      <w:r w:rsidRPr="00335146">
        <w:rPr>
          <w:rFonts w:ascii="Gill Sans MT" w:hAnsi="Gill Sans MT" w:cs="Arial" w:hint="cs"/>
          <w:b/>
          <w:sz w:val="20"/>
          <w:szCs w:val="20"/>
        </w:rPr>
        <w:t>Disposición a pagar de los jóvenes por productos saludables y funcionales: un análisis de sus preferencias de elección</w:t>
      </w:r>
    </w:p>
    <w:p w14:paraId="0C512A63" w14:textId="77777777" w:rsidR="00335146" w:rsidRDefault="00335146" w:rsidP="00150A3D">
      <w:pPr>
        <w:ind w:right="2688"/>
        <w:rPr>
          <w:rFonts w:ascii="Gill Sans MT" w:hAnsi="Gill Sans MT" w:cs="Arial"/>
          <w:b/>
          <w:sz w:val="20"/>
          <w:szCs w:val="20"/>
        </w:rPr>
      </w:pPr>
    </w:p>
    <w:p w14:paraId="7223E814" w14:textId="44F9A081" w:rsidR="00A37825" w:rsidRPr="001B79F3" w:rsidRDefault="00A37825" w:rsidP="00150A3D">
      <w:pPr>
        <w:ind w:right="2688"/>
        <w:rPr>
          <w:rFonts w:ascii="Gill Sans MT" w:hAnsi="Gill Sans MT"/>
          <w:b/>
          <w:bCs/>
          <w:sz w:val="20"/>
          <w:szCs w:val="20"/>
        </w:rPr>
      </w:pPr>
      <w:r w:rsidRPr="00A37825">
        <w:rPr>
          <w:rFonts w:ascii="Gill Sans MT" w:hAnsi="Gill Sans MT"/>
          <w:b/>
          <w:bCs/>
          <w:sz w:val="20"/>
          <w:szCs w:val="20"/>
        </w:rPr>
        <w:t>Mery Katty Barzola Jiménez</w:t>
      </w:r>
      <w:r w:rsidR="001B79F3">
        <w:rPr>
          <w:rStyle w:val="Refdenotaalpie"/>
          <w:rFonts w:ascii="Gill Sans MT" w:hAnsi="Gill Sans MT"/>
          <w:b/>
          <w:bCs/>
          <w:sz w:val="20"/>
          <w:szCs w:val="20"/>
        </w:rPr>
        <w:footnoteReference w:id="1"/>
      </w:r>
    </w:p>
    <w:p w14:paraId="7169804A" w14:textId="543FEB8E" w:rsidR="00A37825" w:rsidRDefault="00A37825" w:rsidP="00150A3D">
      <w:pPr>
        <w:ind w:right="2688"/>
        <w:rPr>
          <w:rFonts w:ascii="Gill Sans MT" w:hAnsi="Gill Sans MT"/>
          <w:b/>
          <w:bCs/>
          <w:sz w:val="20"/>
          <w:szCs w:val="20"/>
        </w:rPr>
      </w:pPr>
      <w:r w:rsidRPr="00A37825">
        <w:rPr>
          <w:rFonts w:ascii="Gill Sans MT" w:hAnsi="Gill Sans MT"/>
          <w:b/>
          <w:bCs/>
          <w:sz w:val="20"/>
          <w:szCs w:val="20"/>
        </w:rPr>
        <w:t>Jenny Maldonado Castro</w:t>
      </w:r>
      <w:r>
        <w:rPr>
          <w:rFonts w:ascii="Gill Sans MT" w:hAnsi="Gill Sans MT"/>
          <w:b/>
          <w:bCs/>
          <w:sz w:val="20"/>
          <w:szCs w:val="20"/>
        </w:rPr>
        <w:t>*</w:t>
      </w:r>
    </w:p>
    <w:p w14:paraId="6E5DAED4" w14:textId="333C897E" w:rsidR="00A37825" w:rsidRDefault="00A37825" w:rsidP="00150A3D">
      <w:pPr>
        <w:ind w:right="2688"/>
        <w:rPr>
          <w:rFonts w:ascii="Gill Sans MT" w:hAnsi="Gill Sans MT"/>
          <w:b/>
          <w:bCs/>
          <w:sz w:val="20"/>
          <w:szCs w:val="20"/>
        </w:rPr>
      </w:pPr>
      <w:r w:rsidRPr="00A37825">
        <w:rPr>
          <w:rFonts w:ascii="Gill Sans MT" w:hAnsi="Gill Sans MT"/>
          <w:b/>
          <w:bCs/>
          <w:sz w:val="20"/>
          <w:szCs w:val="20"/>
        </w:rPr>
        <w:t>Ángel Maldonado Castro</w:t>
      </w:r>
      <w:r>
        <w:rPr>
          <w:rFonts w:ascii="Gill Sans MT" w:hAnsi="Gill Sans MT"/>
          <w:b/>
          <w:bCs/>
          <w:sz w:val="20"/>
          <w:szCs w:val="20"/>
        </w:rPr>
        <w:t>*</w:t>
      </w:r>
    </w:p>
    <w:p w14:paraId="46127293" w14:textId="3473779F" w:rsidR="00150A3D" w:rsidRPr="00150A3D" w:rsidRDefault="00A37825" w:rsidP="00150A3D">
      <w:pPr>
        <w:ind w:right="2688"/>
        <w:rPr>
          <w:rFonts w:ascii="Gill Sans MT" w:hAnsi="Gill Sans MT"/>
          <w:b/>
          <w:bCs/>
          <w:sz w:val="20"/>
          <w:szCs w:val="20"/>
        </w:rPr>
      </w:pPr>
      <w:r w:rsidRPr="00A37825">
        <w:rPr>
          <w:rFonts w:ascii="Gill Sans MT" w:hAnsi="Gill Sans MT"/>
          <w:b/>
          <w:bCs/>
          <w:sz w:val="20"/>
          <w:szCs w:val="20"/>
        </w:rPr>
        <w:t>Jumbo Fonseca Eliot David</w:t>
      </w:r>
      <w:r>
        <w:rPr>
          <w:rFonts w:ascii="Gill Sans MT" w:hAnsi="Gill Sans MT"/>
          <w:b/>
          <w:bCs/>
          <w:sz w:val="20"/>
          <w:szCs w:val="20"/>
        </w:rPr>
        <w:t>*</w:t>
      </w:r>
    </w:p>
    <w:p w14:paraId="0F571B7F" w14:textId="77777777" w:rsidR="00EE42F4" w:rsidRPr="00150A3D" w:rsidRDefault="00EE42F4" w:rsidP="00EE42F4">
      <w:pPr>
        <w:ind w:right="2688"/>
        <w:rPr>
          <w:rFonts w:ascii="Gill Sans MT" w:hAnsi="Gill Sans MT"/>
          <w:b/>
          <w:bCs/>
          <w:sz w:val="20"/>
          <w:szCs w:val="20"/>
        </w:rPr>
      </w:pPr>
    </w:p>
    <w:p w14:paraId="59B8A252" w14:textId="5FF21059" w:rsidR="00477CD8" w:rsidRPr="0070005A" w:rsidRDefault="00000000">
      <w:pPr>
        <w:ind w:right="2828"/>
        <w:jc w:val="both"/>
        <w:rPr>
          <w:rFonts w:ascii="Gill Sans MT" w:hAnsi="Gill Sans MT"/>
          <w:b/>
          <w:bCs/>
          <w:lang w:val="en-US"/>
        </w:rPr>
      </w:pPr>
      <w:r w:rsidRPr="0070005A">
        <w:rPr>
          <w:rFonts w:ascii="Gill Sans MT" w:hAnsi="Gill Sans MT"/>
          <w:b/>
          <w:bCs/>
          <w:lang w:val="en-US"/>
        </w:rPr>
        <w:t>ABSTRACT</w:t>
      </w:r>
    </w:p>
    <w:p w14:paraId="205234CA" w14:textId="77777777" w:rsidR="00335146" w:rsidRPr="00335146" w:rsidRDefault="00335146" w:rsidP="00335146">
      <w:pPr>
        <w:ind w:right="2828"/>
        <w:jc w:val="both"/>
        <w:rPr>
          <w:rFonts w:ascii="Gill Sans MT" w:hAnsi="Gill Sans MT"/>
          <w:lang w:val="en-US"/>
        </w:rPr>
      </w:pPr>
      <w:r w:rsidRPr="00335146">
        <w:rPr>
          <w:rFonts w:ascii="Gill Sans MT" w:hAnsi="Gill Sans MT" w:hint="cs"/>
          <w:lang w:val="en-US"/>
        </w:rPr>
        <w:t xml:space="preserve">In recent decades, the desire to lead a fuller and healthier life has transformed eating habits, prompting consumers to carefully examine their nutritional choices. People are no longer simply seeking to satisfy their hunger but also to nourish their bodies responsibly, thus showing a preference for foods that have a positive impact on health and the environment. This study aims to analyze the relationship between young people’s food preferences and their willingness to pay for healthy products compared to conventional options, as well as the factors that influence their decision-making. The study employed a quantitative approach using a questionnaire carefully designed to address the research objectives. A total of 150 students volunteered to participate, and surveys were administered both online and in person. Participants received an introduction to the topic and the research objectives to ensure the study’s validity. The results showed that purchasing decisions are strongly influenced by visual and informational elements of the products, with students associating healthy eating with detailed nutritional information, packaging design, and attributes such as the </w:t>
      </w:r>
      <w:r w:rsidRPr="00335146">
        <w:rPr>
          <w:rFonts w:ascii="Gill Sans MT" w:hAnsi="Gill Sans MT" w:hint="cs"/>
          <w:lang w:val="en-US"/>
        </w:rPr>
        <w:lastRenderedPageBreak/>
        <w:t>absence of preservatives or local origin. There is a clear willingness to incorporate healthy products into their daily diet, driven by perceived benefits for personal health and nutritional knowledge. Although they view these products positively, price remains a determining factor, with students showing price elasticity for a small premium at most -especially for frequently consumed products- thereby maintaining a balance between wellness aspirations and financial constraints.</w:t>
      </w:r>
    </w:p>
    <w:p w14:paraId="0CBFFB0F" w14:textId="77777777" w:rsidR="00335146" w:rsidRPr="00335146" w:rsidRDefault="00335146" w:rsidP="00335146">
      <w:pPr>
        <w:ind w:right="2828"/>
        <w:jc w:val="both"/>
        <w:rPr>
          <w:rFonts w:ascii="Gill Sans MT" w:hAnsi="Gill Sans MT"/>
          <w:lang w:val="en-US"/>
        </w:rPr>
      </w:pPr>
    </w:p>
    <w:p w14:paraId="3C0F217A" w14:textId="77777777" w:rsidR="00335146" w:rsidRPr="00335146" w:rsidRDefault="00335146" w:rsidP="00335146">
      <w:pPr>
        <w:ind w:right="2828"/>
        <w:jc w:val="both"/>
        <w:rPr>
          <w:rFonts w:ascii="Gill Sans MT" w:hAnsi="Gill Sans MT"/>
          <w:lang w:val="en-US"/>
        </w:rPr>
      </w:pPr>
      <w:r w:rsidRPr="00335146">
        <w:rPr>
          <w:rFonts w:ascii="Gill Sans MT" w:hAnsi="Gill Sans MT" w:hint="cs"/>
          <w:b/>
          <w:bCs/>
          <w:lang w:val="en-US"/>
        </w:rPr>
        <w:t>Keywords:</w:t>
      </w:r>
      <w:r w:rsidRPr="00335146">
        <w:rPr>
          <w:rFonts w:ascii="Gill Sans MT" w:hAnsi="Gill Sans MT" w:hint="cs"/>
          <w:lang w:val="en-US"/>
        </w:rPr>
        <w:t xml:space="preserve"> Willingness to pay, healthy products, food preferences, purchasing decisions.</w:t>
      </w:r>
    </w:p>
    <w:p w14:paraId="45F91F00" w14:textId="77777777" w:rsidR="00EE42F4" w:rsidRDefault="00EE42F4" w:rsidP="0070005A">
      <w:pPr>
        <w:ind w:right="2828"/>
        <w:jc w:val="both"/>
        <w:rPr>
          <w:rFonts w:ascii="Gill Sans MT" w:hAnsi="Gill Sans MT"/>
          <w:b/>
          <w:bCs/>
          <w:lang w:val="en-US"/>
        </w:rPr>
      </w:pPr>
    </w:p>
    <w:p w14:paraId="0F3C1948" w14:textId="5F0B0CDB" w:rsidR="0070005A" w:rsidRPr="00972FA2" w:rsidRDefault="0070005A" w:rsidP="0070005A">
      <w:pPr>
        <w:ind w:right="2828"/>
        <w:jc w:val="both"/>
        <w:rPr>
          <w:rFonts w:ascii="Gill Sans MT" w:hAnsi="Gill Sans MT"/>
          <w:b/>
          <w:bCs/>
        </w:rPr>
      </w:pPr>
      <w:r>
        <w:rPr>
          <w:rFonts w:ascii="Gill Sans MT" w:hAnsi="Gill Sans MT"/>
          <w:b/>
          <w:bCs/>
        </w:rPr>
        <w:t>RESUMEN</w:t>
      </w:r>
    </w:p>
    <w:p w14:paraId="38390DB2" w14:textId="77777777" w:rsidR="00335146" w:rsidRDefault="00335146" w:rsidP="00335146">
      <w:pPr>
        <w:ind w:right="2828"/>
        <w:jc w:val="both"/>
        <w:rPr>
          <w:rFonts w:ascii="Gill Sans MT" w:hAnsi="Gill Sans MT"/>
        </w:rPr>
      </w:pPr>
      <w:r w:rsidRPr="00335146">
        <w:rPr>
          <w:rFonts w:ascii="Gill Sans MT" w:hAnsi="Gill Sans MT" w:hint="cs"/>
        </w:rPr>
        <w:t xml:space="preserve">En las últimas décadas, el cuidado y la búsqueda de una vida más plena y saludable ha transformado los hábitos alimentarios, situación que ha provocado a consumidores examinar detenidamente sus elecciones nutricionales, los individuos no solo buscan saciar el hambre, sino también nutrir el cuerpo de manera responsable, manifestado así preferencia por alimentos con impacto positivo en la salud y el medio ambiente. Esta investigación tiene como objetivo analizar la relación entre las preferencias alimentarias de los jóvenes y su disposición económica hacia productos saludables en comparación con opciones convencionales, así como los factores que influyen en su toma de decisiones. El estudio empleó un enfoque cuantitativo mediante un cuestionario diseñado cuidadosamente para responder a los objetivos de esta investigación, seleccionando 150 estudiantes participantes de manera voluntaria y aplicando encuestas tanto online como presenciales, donde los participantes recibieron una introducción sobre el tema y objetivos de la investigación para garantizar la autenticidad del estudio. Los resultados evidenciaron que las decisiones de compra están fuertemente influenciadas por elementos visuales e informativos de los productos, donde los estudiantes asocian la salud alimentaria con información nutricional detallada, diseño del empaque y atributos como ausencia de conservantes u origen local. Existe clara disposición a incorporar productos saludables en su dieta diaria, </w:t>
      </w:r>
      <w:r w:rsidRPr="00335146">
        <w:rPr>
          <w:rFonts w:ascii="Gill Sans MT" w:hAnsi="Gill Sans MT" w:hint="cs"/>
        </w:rPr>
        <w:lastRenderedPageBreak/>
        <w:t>motivada por beneficios percibidos para la salud personal y conocimiento nutricional. Aunque valoran positivamente estos productos, el precio sigue siendo determinante, mostrando elasticicidad a un pequeño sobreprecio como máximo, especialmente para productos de consumo frecuente, manteniendo equilibrio entre aspiraciones de bienestar y limitaciones económicas.</w:t>
      </w:r>
    </w:p>
    <w:p w14:paraId="1CF8A666" w14:textId="77777777" w:rsidR="00335146" w:rsidRPr="00335146" w:rsidRDefault="00335146" w:rsidP="00335146">
      <w:pPr>
        <w:ind w:right="2828"/>
        <w:jc w:val="both"/>
        <w:rPr>
          <w:rFonts w:ascii="Gill Sans MT" w:hAnsi="Gill Sans MT"/>
        </w:rPr>
      </w:pPr>
    </w:p>
    <w:p w14:paraId="7FCF30AA" w14:textId="3425D6D3" w:rsidR="00335146" w:rsidRPr="00335146" w:rsidRDefault="00335146" w:rsidP="00335146">
      <w:pPr>
        <w:ind w:right="2828"/>
        <w:jc w:val="both"/>
        <w:rPr>
          <w:rFonts w:ascii="Gill Sans MT" w:hAnsi="Gill Sans MT"/>
        </w:rPr>
      </w:pPr>
      <w:r w:rsidRPr="00335146">
        <w:rPr>
          <w:rFonts w:ascii="Gill Sans MT" w:hAnsi="Gill Sans MT" w:hint="cs"/>
          <w:b/>
          <w:bCs/>
        </w:rPr>
        <w:t>Palabras clave:</w:t>
      </w:r>
      <w:r w:rsidRPr="00335146">
        <w:rPr>
          <w:rFonts w:ascii="Gill Sans MT" w:hAnsi="Gill Sans MT" w:hint="cs"/>
        </w:rPr>
        <w:t xml:space="preserve"> Disposición a pagar, productos saludables, preferencias alimentarias, decisiones de compra.</w:t>
      </w:r>
    </w:p>
    <w:p w14:paraId="5566B19B" w14:textId="77777777" w:rsidR="00335146" w:rsidRDefault="00335146" w:rsidP="00150A3D">
      <w:pPr>
        <w:ind w:right="2828"/>
        <w:jc w:val="both"/>
        <w:rPr>
          <w:rFonts w:ascii="Gill Sans MT" w:hAnsi="Gill Sans MT"/>
        </w:rPr>
      </w:pPr>
    </w:p>
    <w:p w14:paraId="7B96F7F4" w14:textId="77777777" w:rsidR="00A53357" w:rsidRPr="0070005A" w:rsidRDefault="00A53357">
      <w:pPr>
        <w:rPr>
          <w:rFonts w:ascii="Gill Sans MT" w:hAnsi="Gill Sans MT"/>
          <w:b/>
          <w:bCs/>
        </w:rPr>
      </w:pPr>
    </w:p>
    <w:p w14:paraId="6670C072" w14:textId="4927A066" w:rsidR="00477CD8" w:rsidRPr="00150A3D" w:rsidRDefault="002B4885">
      <w:pPr>
        <w:rPr>
          <w:rFonts w:ascii="Gill Sans MT" w:hAnsi="Gill Sans MT"/>
          <w:b/>
          <w:bCs/>
          <w:lang w:val="en-US"/>
        </w:rPr>
      </w:pPr>
      <w:r w:rsidRPr="00150A3D">
        <w:rPr>
          <w:rFonts w:ascii="Gill Sans MT" w:hAnsi="Gill Sans MT"/>
          <w:b/>
          <w:bCs/>
          <w:lang w:val="en-US"/>
        </w:rPr>
        <w:t>INTRODUC</w:t>
      </w:r>
      <w:r w:rsidR="00194110" w:rsidRPr="00150A3D">
        <w:rPr>
          <w:rFonts w:ascii="Gill Sans MT" w:hAnsi="Gill Sans MT"/>
          <w:b/>
          <w:bCs/>
          <w:lang w:val="en-US"/>
        </w:rPr>
        <w:t>TIO</w:t>
      </w:r>
      <w:r w:rsidRPr="00150A3D">
        <w:rPr>
          <w:rFonts w:ascii="Gill Sans MT" w:hAnsi="Gill Sans MT"/>
          <w:b/>
          <w:bCs/>
          <w:lang w:val="en-US"/>
        </w:rPr>
        <w:t>N</w:t>
      </w:r>
    </w:p>
    <w:p w14:paraId="6FE2B1F6"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 recent decades, the quest for a fuller and healthier life has led people to take a closer look at what they include in their daily diets. It’s not just about satisfying hunger, but about nourishing the body and mind—and doing so in a way that aligns with personal and collective values. Consumers have become increasingly responsible, showing a preference for foods that have a positive impact on health, society, and the environment. In particular, consumers are showing a growing interest in food innovation and in products that offer health benefits, such as fortified foods, which can be considered functional foods. Understanding this dynamic is essential for the food industry to innovate effectively and sustainably, offering products that are not only nutritious but also align with today’s society’s aspirations for well-being and responsibility.</w:t>
      </w:r>
    </w:p>
    <w:p w14:paraId="22F52B9F" w14:textId="20489344" w:rsidR="00335146" w:rsidRPr="00335146" w:rsidRDefault="00335146" w:rsidP="00335146">
      <w:pPr>
        <w:jc w:val="both"/>
        <w:rPr>
          <w:rFonts w:ascii="Gill Sans" w:hAnsi="Gill Sans" w:cs="Gill Sans"/>
          <w:lang w:val="en-US"/>
        </w:rPr>
      </w:pPr>
      <w:r w:rsidRPr="00335146">
        <w:rPr>
          <w:rFonts w:ascii="Gill Sans" w:hAnsi="Gill Sans" w:cs="Gill Sans"/>
          <w:lang w:val="en-US"/>
        </w:rPr>
        <w:t>Within this changing landscape, the choice of retail outlets for healthy foods becomes a crucial factor shaping the population’s dietary habits. The way consumers navigate diverse retail environments—from traditional markets to large supermarkets—reveals a complex interplay of individual, social, economic, and institutional factors. Understanding these dynamics is essential for promoting healthier consumption patterns and enabling retailers to effectively adapt their offerings.  They highlight this complexity by stating that “retail outlets play a fundamental role in shaping healthy dietary patterns, which calls for a more in-depth analysis of consumer behavior in various retail settings.”</w:t>
      </w:r>
    </w:p>
    <w:p w14:paraId="329741BD"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In this context, the present study aims to analyze the relationship between young people’s food preferences and their willingness to pay for healthy products compared to conventional options, as well as the factors that influence their decision-making. Young people constitute a key demographic segment; currently, the decisions they make regarding their diet will not only influence their own long-term health habits but will also have a significant impact on shaping future food market trends. For this reason, it is essential to conduct in-depth research into the motivations that drive young people to choose certain foods, as well as the barriers they face in purchasing healthy options. Understanding these factors will enable the design of effective strategies tailored to their </w:t>
      </w:r>
      <w:r w:rsidRPr="00335146">
        <w:rPr>
          <w:rFonts w:ascii="Gill Sans" w:hAnsi="Gill Sans" w:cs="Gill Sans"/>
          <w:lang w:val="en-US"/>
        </w:rPr>
        <w:lastRenderedPageBreak/>
        <w:t>needs and preferences, with the goal of promoting more nutritious and sustainable diets. Furthermore, by focusing on this vital demographic, we can foster positive change that benefits both individual health and collective well-being. Ultimately, studying the eating habits of young people is key to advancing policies and programs that help improve quality of life and build a healthier and more environmentally responsible future.</w:t>
      </w:r>
    </w:p>
    <w:p w14:paraId="753169A4" w14:textId="45CF41C8" w:rsidR="00335146" w:rsidRPr="00335146" w:rsidRDefault="00335146" w:rsidP="00335146">
      <w:pPr>
        <w:jc w:val="both"/>
        <w:rPr>
          <w:rFonts w:ascii="Gill Sans" w:hAnsi="Gill Sans" w:cs="Gill Sans"/>
          <w:lang w:val="en-US"/>
        </w:rPr>
      </w:pPr>
      <w:r w:rsidRPr="00335146">
        <w:rPr>
          <w:rFonts w:ascii="Gill Sans" w:hAnsi="Gill Sans" w:cs="Gill Sans"/>
          <w:lang w:val="en-US"/>
        </w:rPr>
        <w:t>Food production and consumption patterns have been shaped by the economic and social changes of recent decades.  While it is true that these changes have increased access to and availability of food, they have also generated negative social, environmental, and health impacts, as an agricultural model based on intensive production on large tracts of land using chemical inputs has been adopted, thereby spanning the value chain that extends over long distances until consumption.</w:t>
      </w:r>
    </w:p>
    <w:p w14:paraId="03AE9D36"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Another impact is the increase in the production and consumption of ultra-processed foods, which contain large amounts of sugar, sodium, and fats, thereby contributing to and increasing the prevalence of chronic noncommunicable diseases. </w:t>
      </w:r>
    </w:p>
    <w:p w14:paraId="5CD1D1FE" w14:textId="77777777" w:rsidR="00335146" w:rsidRPr="00335146" w:rsidRDefault="00335146" w:rsidP="00335146">
      <w:pPr>
        <w:jc w:val="both"/>
        <w:rPr>
          <w:rFonts w:ascii="Gill Sans" w:hAnsi="Gill Sans" w:cs="Gill Sans"/>
          <w:lang w:val="en-US"/>
        </w:rPr>
      </w:pPr>
    </w:p>
    <w:p w14:paraId="7871F202" w14:textId="3B1B77E3"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Literature Review</w:t>
      </w:r>
    </w:p>
    <w:p w14:paraId="465E36C7" w14:textId="27D31E53"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Consumer Choices for a Healthy Diet.</w:t>
      </w:r>
    </w:p>
    <w:p w14:paraId="27685A78"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Current generations of consumers have experienced changes in their awareness and consumption habits.  In recent years, studies have clearly demonstrated that replacing animal-based foods—particularly red and processed meats—with plant-based alternatives in daily diets has considerable beneficial effects on both human health and environmental sustainability. For this reason, individuals are acting more consciously and seeking more information about the benefits of a healthy diet; as a result, they choose to make changes to take better care of their health.</w:t>
      </w:r>
    </w:p>
    <w:p w14:paraId="26C607BC" w14:textId="37E1B7CB" w:rsidR="00335146" w:rsidRPr="00335146" w:rsidRDefault="00335146" w:rsidP="00335146">
      <w:pPr>
        <w:jc w:val="both"/>
        <w:rPr>
          <w:rFonts w:ascii="Gill Sans" w:hAnsi="Gill Sans" w:cs="Gill Sans"/>
          <w:lang w:val="en-US"/>
        </w:rPr>
      </w:pPr>
      <w:r w:rsidRPr="00335146">
        <w:rPr>
          <w:rFonts w:ascii="Gill Sans" w:hAnsi="Gill Sans" w:cs="Gill Sans"/>
          <w:lang w:val="en-US"/>
        </w:rPr>
        <w:t>Choosing a healthy diet is a complex process involving multiple factors, ranging from health awareness to social and cultural influences. Authors such as  ,  reveal that the willingness to pay for healthy food products is strongly related to health awareness, which is defined as the degree to which consumers value the benefits of a balanced and nutritious diet. Furthermore, this study reveals that consumers who are better informed about the effects of diet on their health tend to make healthier choices, suggesting that education and information are crucial for fostering positive eating habits. In this regard, young people—being more receptive to available information on health and nutrition—are more likely to adopt diets that prioritize fresh and nutritious foods.</w:t>
      </w:r>
    </w:p>
    <w:p w14:paraId="16238A78"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In addition to the influence of social media and digital culture—which has transformed the way young people perceive and choose their food—there are other channels through which communication and influence shape the selection of healthy and sustainable foods. As mentioned, nutritional and health profiles have been systematically used in various applications, including front-of-package food labeling in Europe and Australia, in compliance with regulatory standards implemented in Ecuador, Mexico, and Peru.  Various nutrient profiling methods—including the Choices International logo, the </w:t>
      </w:r>
      <w:r w:rsidRPr="00335146">
        <w:rPr>
          <w:rFonts w:ascii="Gill Sans" w:hAnsi="Gill Sans" w:cs="Gill Sans"/>
          <w:lang w:val="en-US"/>
        </w:rPr>
        <w:lastRenderedPageBreak/>
        <w:t>Nordic Keyhole, the Nutrient Profile Scoring Criteria, the Health Star Rating system, and SAIN-LIM—have been developed worldwide to distinguish between healthy options.</w:t>
      </w:r>
    </w:p>
    <w:p w14:paraId="6C83E8E5"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However, young people face significant challenges when trying to implement these changes in their daily lives.  Research on gender-based behavioral patterns revealed that women expressed a greater interest in consuming fruits and vegetables compared to men; and while both men and women agree that organic foods are produced sustainably, their high price, limited access, irregular supply, and availability in only a few stores were highlighted as the main limiting factors preventing them from consuming organic foods. A similar study conducted in Spain and Thailand on consumer perceptions and attitudes, as well as retailers’ attitudes toward green, smart, and organic (GSO) foods, showed similar results, with cost being a key factor.</w:t>
      </w:r>
    </w:p>
    <w:p w14:paraId="1B8A8816"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 addition, social pressure and cultural norms also play a crucial role in choosing a healthy diet. Young people are often influenced by their peers’ expectations and cultural trends that may favor certain types of foods or diets.</w:t>
      </w:r>
    </w:p>
    <w:p w14:paraId="32B8016F" w14:textId="6954A7B5"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 According to the study, functional foods (FF) represent one of the most interesting areas of research and innovation in the food industry. For example, in Europe, sales have increased significantly: Germany, France, the United Kingdom, and the Netherlands are the most important countries within the functional foods market. Other European markets are experiencing high growth rates, such as the Netherlands and Spain. Research by Euromonitor predicted that sales of functional foods would increase moderately between 2005 and 2009 in the emerging markets of Hungary, Poland, and Russia. </w:t>
      </w:r>
    </w:p>
    <w:p w14:paraId="581BC3BC"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It is important to note that demand for functional foods within the European Union varies considerably from one country to another, due to dietary traditions and cultural heritage; consequently, consumer interest in functional foods is greater in the central and northern member states than in the Mediterranean countries.</w:t>
      </w:r>
    </w:p>
    <w:p w14:paraId="3C30D6EB"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 this context, consumers’ choices regarding a healthy diet are a multifaceted process influenced by health awareness, food availability, social and cultural influences, and access to information. To encourage healthier food choices among young people, it is essential to develop strategies that address these factors comprehensively, promoting not only nutrition education but also access to healthy foods and the creation of a social environment that supports responsible consumption decisions. Doing so can help foster eating habits that benefit both individual health and collective well-being.</w:t>
      </w:r>
    </w:p>
    <w:p w14:paraId="38B1C41F" w14:textId="2E9AF8E7"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Willingness to Pay for Healthy Products Among Young People.</w:t>
      </w:r>
    </w:p>
    <w:p w14:paraId="16BDAF6F"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Growing awareness of health and well-being has significantly transformed consumer purchasing behavior worldwide, driving an ever-increasing demand for healthy food products. In this context, the willingness to pay for these products emerges as a crucial indicator for understanding consumer preferences and the commercial viability of healthy offerings. The study underscores the importance of analyzing whether consumers are willing to pay a premium for foods that promise health and wellness benefits, revealing that a considerable percentage of consumers (44% in their study in </w:t>
      </w:r>
      <w:r w:rsidRPr="00335146">
        <w:rPr>
          <w:rFonts w:ascii="Gill Sans" w:hAnsi="Gill Sans" w:cs="Gill Sans"/>
          <w:lang w:val="en-US"/>
        </w:rPr>
        <w:lastRenderedPageBreak/>
        <w:t>India) are willing to pay an average premium of 9% for the desired products. This willingness is not uniform and is influenced by a complex interplay of factors, making it essential to delve deeper into the mechanisms underlying the valuation of food attributes.</w:t>
      </w:r>
    </w:p>
    <w:p w14:paraId="44EC19A5" w14:textId="36272CF3" w:rsidR="00335146" w:rsidRPr="00335146" w:rsidRDefault="00335146" w:rsidP="00335146">
      <w:pPr>
        <w:jc w:val="both"/>
        <w:rPr>
          <w:rFonts w:ascii="Gill Sans" w:hAnsi="Gill Sans" w:cs="Gill Sans"/>
          <w:lang w:val="en-US"/>
        </w:rPr>
      </w:pPr>
      <w:r w:rsidRPr="00335146">
        <w:rPr>
          <w:rFonts w:ascii="Gill Sans" w:hAnsi="Gill Sans" w:cs="Gill Sans"/>
          <w:lang w:val="en-US"/>
        </w:rPr>
        <w:t>Particularly among young people, the willingness to pay for healthy products is shaped by a combination of intrinsic and extrinsic motivations. The health-based approach to food, as evidenced in [source], suggests that individuals who prioritize health in their food choices tend to place greater importance on all extrinsic attributes. This pattern, observed among both Italian and French consumers, implies that health-conscious young people are more likely to make informed decisions and carefully evaluate product characteristics, which could translate into a greater willingness to pay for those attributes they perceive as beneficial to their well-being.</w:t>
      </w:r>
    </w:p>
    <w:p w14:paraId="30A0B12C"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 conclusion, young people’s willingness to pay for healthy products is related not only to the perception of direct health benefits but also to the valuation of extrinsic attributes associated with quality and ethical production. The authors note that health-conscious consumers also tend to place greater importance on attributes such as origin, organic status, and fair trade. This connection between personal health and ethical or sustainability considerations is a key aspect of young people’s behavior, as they often demonstrate greater concern for the social and environmental impact of their consumption choices. Therefore, this demographic’s willingness to pay for healthy products may be intrinsically linked to supply chain transparency, quality certifications, and sustainable production practices, representing an opportunity for producers and marketers of healthy foods.</w:t>
      </w:r>
    </w:p>
    <w:p w14:paraId="1FB9C3D9" w14:textId="09697ADC"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Sociodemographic Factors and Their Influence on Preferences for Healthy Products</w:t>
      </w:r>
    </w:p>
    <w:p w14:paraId="349B0DA9"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Sociodemographic factors play a fundamental role in shaping consumer preferences, especially in the context of healthy products. Research shows that variables such as age, educational level, and income are key determinants that influence young people’s willingness to pay for healthy foods. According to the study by [source], due to strong social pressures stemming from health and environmental concerns, a considerable proportion of consumers remains unmotivated to significantly reduce their consumption of red meat. Recent studies indicate that, in developed countries, only a small percentage of people identify as vegan/vegetarian (less than 10%) or flexitarian (approximately 30%)—that is, people who intend to reduce their meat consumption. The author reiterates that more than 50% of consumers show resistance to change and do not report any intention to reduce their meat consumption, which is likely due to eating behaviors deeply rooted in Western society, along with the cultural and psychosocial attributes associated with red meat consumption—such as its symbolism of wealth, masculinity, and nutrition.</w:t>
      </w:r>
    </w:p>
    <w:p w14:paraId="3B67DE38"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In today’s food environment, consumers are inundated with tasty, convenient, and often unhealthy products, while at the same time being encouraged to increase their </w:t>
      </w:r>
      <w:r w:rsidRPr="00335146">
        <w:rPr>
          <w:rFonts w:ascii="Gill Sans" w:hAnsi="Gill Sans" w:cs="Gill Sans"/>
          <w:lang w:val="en-US"/>
        </w:rPr>
        <w:lastRenderedPageBreak/>
        <w:t xml:space="preserve">consumption of healthier foods. However, other studies have identified a positive association between a larger number of household members and the consumption of functional foods. Along the same lines, other studies have specifically investigated the influence of marital status on consumer acceptance, highlighting that single people are more likely to incorporate functional foods into their diets than their married counterparts, while observing that married or widowed consumers show a greater willingness to invest in functional foods compared to single or divorced individuals.  Studies on functional foods have undoubtedly attracted significant research attention, focusing primarily on consumer acceptance and the identification of influencing factors </w:t>
      </w:r>
    </w:p>
    <w:p w14:paraId="1AC4CB4F"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Furthermore, health is one of the main variables in the study of consumer behavior toward functional foods.</w:t>
      </w:r>
    </w:p>
    <w:p w14:paraId="0AB85BB0"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 Consumers exhibit more positive attitudes toward these products and are more likely to purchase them when they are presented as healthy and have favorable nutritional information. Despite consumers’ negative perceptions of genetically modified foods, functional foods—which provide health benefits to those who consume them—are generally viewed positively. Therefore, this highlights the importance of effectively communicating these positive health effects. Within this framework and based on the study of functional foods in the Spanish market, it is concluded that health and safety are the most relevant factors for consumers when choosing healthy and functional foods.</w:t>
      </w:r>
    </w:p>
    <w:p w14:paraId="5DA21513"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By recognizing that education, income, and age influence willingness to pay, marketers can design campaigns that specifically address the concerns and motivations of young people. For example, initiatives that promote nutrition education and access to </w:t>
      </w:r>
      <w:proofErr w:type="spellStart"/>
      <w:r w:rsidRPr="00335146">
        <w:rPr>
          <w:rFonts w:ascii="Gill Sans" w:hAnsi="Gill Sans" w:cs="Gill Sans"/>
          <w:lang w:val="en-US"/>
        </w:rPr>
        <w:t>healthy</w:t>
      </w:r>
      <w:proofErr w:type="spellEnd"/>
      <w:r w:rsidRPr="00335146">
        <w:rPr>
          <w:rFonts w:ascii="Gill Sans" w:hAnsi="Gill Sans" w:cs="Gill Sans"/>
          <w:lang w:val="en-US"/>
        </w:rPr>
        <w:t xml:space="preserve"> products can be particularly effective in low-income communities. In summary, sociodemographic factors not only influence the willingness to pay for healthy products but also offer an opportunity for companies and policymakers to encourage healthier and more sustainable consumption among young people.</w:t>
      </w:r>
    </w:p>
    <w:p w14:paraId="2E0F6533" w14:textId="0A4B8B7D"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Behavioral Factors in Healthy Food Choices</w:t>
      </w:r>
    </w:p>
    <w:p w14:paraId="1FAA3391"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Healthy food choices are influenced by a variety of behavioral factors that affect consumers’ purchasing decisions. Among these, health consciousness stands out as a key driver that motivates young people to choose products they consider beneficial to their well-being. Health consciousness not only affects willingness to pay but also shapes attitudes toward diet and lifestyle. Young people who are better informed about the effects of diet on health tend to be more selective in their food choices, prioritizing products that offer nutritional benefits and align with their personal health goals. This trend is reinforced by access to information through digital platforms and social media, where young people can learn about the latest trends in nutrition and health.</w:t>
      </w:r>
    </w:p>
    <w:p w14:paraId="5F88F394"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Actively seeking information about food products—including reading labels, researching ingredients, and checking online reviews—has become common among young people. In addition to health awareness, other behavioral factors, such as information-seeking and social influence, play a crucial role in choosing healthy foods. This observed behavior reflects a desire to make informed and responsible decisions, which in turn can increase </w:t>
      </w:r>
      <w:r w:rsidRPr="00335146">
        <w:rPr>
          <w:rFonts w:ascii="Gill Sans" w:hAnsi="Gill Sans" w:cs="Gill Sans"/>
          <w:lang w:val="en-US"/>
        </w:rPr>
        <w:lastRenderedPageBreak/>
        <w:t>the willingness to pay for products that meet their expectations for quality and health. It is noteworthy that consumers who engage in information-seeking tend to place greater value on product attributes, which can lead to a greater willingness to pay for those they consider to offer added value.</w:t>
      </w:r>
    </w:p>
    <w:p w14:paraId="23F54D8F"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Social influence is also a key factor in healthy food choices. Young people are often influenced by the opinions and behaviors of their peers, as well as by cultural and social trends that promote a healthy lifestyle. At the same time, social pressure can motivate young people to adopt healthier eating habits as they seek to align with the expectations of their social group. This is reflected in the growing popularity of specific diets, such as veganism or vegetarianism, which have gained acceptance among younger generations. These dynamics within their social environment can be a powerful driver for promoting healthy food choices and, consequently, increasing the willingness to pay for them. </w:t>
      </w:r>
    </w:p>
    <w:p w14:paraId="14AD23CB"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Behavioral factors in healthy food choices are also related to the perception of risk and reward. Young people tend to evaluate the short- and long-term benefits of their food choices, considering how these decisions impact their health and well-being. According to [source], young people can be motivated to invest in products they consider beneficial—even if this involves an additional cost—due to a strong belief that healthy foods contribute to a better quality of life and disease prevention.</w:t>
      </w:r>
    </w:p>
    <w:p w14:paraId="5142E91A"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 this regard, education and awareness about the benefits of healthy eating are essential for fostering purchasing behaviors that prioritize health. By understanding these behavioral factors, marketers and policymakers can design more effective strategies to promote the consumption of healthy foods among young people, helping to create an environment that supports healthier and more sustainable food choices.</w:t>
      </w:r>
    </w:p>
    <w:p w14:paraId="0EF579CB" w14:textId="0F32FE86"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Product and Market Attributes in the Preference for Healthy Foods</w:t>
      </w:r>
    </w:p>
    <w:p w14:paraId="7A4E1112"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The preference for healthy foods is deeply influenced by both product and market attributes. Product attributes—such as quality, taste, packaging, and nutritional information—play a crucial role in consumers’ purchasing decisions; consumers value health and tend to prioritize products that not only offer nutritional benefits but also meet standards of quality and freshness. Perceived quality becomes a determining factor in willingness to pay; consumers are willing to spend more on products they consider superior in terms of ingredients and health benefits. This is particularly relevant for young people, who—being better informed and more health-conscious—seek products that align with their quality expectations.</w:t>
      </w:r>
    </w:p>
    <w:p w14:paraId="1FF1E5D0"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Packaging also plays a significant role in the preference for healthy foods. Attractive and functional packaging can influence the perception of the product and, consequently, the purchasing decision. Consumers value packaging that clearly communicates information about the product’s benefits, such as its origin, ingredients, and health certifications. Packaging that highlights attributes such as “organic,” “additive-free,” or “low-calorie” can capture the attention of young people and motivate them to choose those products over others.  Likewise,  packaging design can convey a message of sustainability, which </w:t>
      </w:r>
      <w:r w:rsidRPr="00335146">
        <w:rPr>
          <w:rFonts w:ascii="Gill Sans" w:hAnsi="Gill Sans" w:cs="Gill Sans"/>
          <w:lang w:val="en-US"/>
        </w:rPr>
        <w:lastRenderedPageBreak/>
        <w:t>is especially appealing to younger generations who value the environmental impact of their consumption choices.</w:t>
      </w:r>
    </w:p>
    <w:p w14:paraId="1E0A2339"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On the other hand, market attributes such as availability, price, and accessibility also play a key role in the preference for healthy foods. The ease of access to </w:t>
      </w:r>
      <w:proofErr w:type="spellStart"/>
      <w:r w:rsidRPr="00335146">
        <w:rPr>
          <w:rFonts w:ascii="Gill Sans" w:hAnsi="Gill Sans" w:cs="Gill Sans"/>
          <w:lang w:val="en-US"/>
        </w:rPr>
        <w:t>healthy</w:t>
      </w:r>
      <w:proofErr w:type="spellEnd"/>
      <w:r w:rsidRPr="00335146">
        <w:rPr>
          <w:rFonts w:ascii="Gill Sans" w:hAnsi="Gill Sans" w:cs="Gill Sans"/>
          <w:lang w:val="en-US"/>
        </w:rPr>
        <w:t xml:space="preserve"> products in supermarkets and local stores influences purchasing decisions. If young people notice that healthy products are easily accessible and available in their local area, they are more likely to choose them. However, price remains a critical factor; young people may be willing to pay more for healthy products, but only up to a certain limit. The perception that healthy products are overpriced can deter consumers from choosing them, highlighting the importance of pricing strategies that make these products more affordable and competitive in the market.</w:t>
      </w:r>
    </w:p>
    <w:p w14:paraId="05F60033"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In summary, both product and market attributes are interrelated factors that influence the preference for healthy foods, and understanding this dynamic is essential for developing effective strategies to promote the consumption of healthy products among young people. Additionally, promotions and marketing strategies also play an important role in shaping perceptions of market attributes. Campaigns that highlight the benefits of healthy products and use testimonials from influencers or celebrities can increase the visibility and appeal of these products among young people. </w:t>
      </w:r>
    </w:p>
    <w:p w14:paraId="45758FB4" w14:textId="325B126D" w:rsidR="00335146" w:rsidRPr="00335146" w:rsidRDefault="00335146" w:rsidP="00335146">
      <w:pPr>
        <w:jc w:val="both"/>
        <w:rPr>
          <w:rFonts w:ascii="Gill Sans" w:hAnsi="Gill Sans" w:cs="Gill Sans"/>
          <w:b/>
          <w:bCs/>
          <w:lang w:val="en-US"/>
        </w:rPr>
      </w:pPr>
      <w:r w:rsidRPr="00335146">
        <w:rPr>
          <w:rFonts w:ascii="Gill Sans" w:hAnsi="Gill Sans" w:cs="Gill Sans"/>
          <w:b/>
          <w:bCs/>
          <w:lang w:val="en-US"/>
        </w:rPr>
        <w:t>Young People’s Perceptions and Attitudes Toward Health and Food Sustainability</w:t>
      </w:r>
    </w:p>
    <w:p w14:paraId="4A16CB53"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Today, young people are more aware of the relationship between diet and health, which translates into a greater willingness to adopt eating habits that prioritize healthy products.  Perceptions and attitudes toward health and food sustainability are constantly evolving, driven by a growing interest in personal well-being and the environmental impact of their consumption choices. This new generation tends to value not only the nutritional benefits of food but also its origin and production process. Against a backdrop of concern for public health and disease prevention, many young people are seeking foods that are not only nutritious but also contribute to a healthy and active lifestyle.</w:t>
      </w:r>
    </w:p>
    <w:p w14:paraId="67830E4F"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Furthermore, food sustainability has emerged as a central theme in discussions about responsible consumption among young people; as a result, they are increasingly interested in the environmental impact of their food choices, as reflected in their preference for organic, local, and fair-trade products. These young people are more likely to consider factors such as carbon footprint, pesticide use, and animal welfare when making purchasing decisions. This shift in perception has been driven by information they find on social media and digital platforms, where knowledge about sustainable practices and their benefits is shared. Thus, sustainability has become a key criterion influencing their willingness to pay for products that meet these standards.</w:t>
      </w:r>
    </w:p>
    <w:p w14:paraId="29C8E0C4"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The influence of social media and digital culture has also shaped young people’s attitudes toward health and sustainability. Platforms such as Instagram and TikTok have allowed young people to connect with communities that promote healthy and sustainable lifestyles, which in turn reinforces their own beliefs and behaviors. However, they are </w:t>
      </w:r>
      <w:r w:rsidRPr="00335146">
        <w:rPr>
          <w:rFonts w:ascii="Gill Sans" w:hAnsi="Gill Sans" w:cs="Gill Sans"/>
          <w:lang w:val="en-US"/>
        </w:rPr>
        <w:lastRenderedPageBreak/>
        <w:t>also exposed to advertisements for unhealthy foods. Teenage consumers, known for their impulsive nature and susceptibility to peer influence, are particularly vulnerable to advertising on television and social media; therefore, studies suggest that the number of hours spent in front of screens could contribute to increased consumption.  Reduced screen time could increase and reinforce adherence to healthier eating patterns. Although parental control over meals decreases as adolescents gain more autonomy in food choices, their eating patterns are determined in part by the availability, accessibility, and parental education regarding the different types of foods present in their homes.</w:t>
      </w:r>
    </w:p>
    <w:p w14:paraId="64F1C297" w14:textId="1A63808B" w:rsidR="00150A3D" w:rsidRDefault="00335146" w:rsidP="00335146">
      <w:pPr>
        <w:jc w:val="both"/>
        <w:rPr>
          <w:rFonts w:ascii="Gill Sans MT" w:hAnsi="Gill Sans MT"/>
          <w:iCs/>
          <w:lang w:val="en-US"/>
        </w:rPr>
      </w:pPr>
      <w:r w:rsidRPr="00335146">
        <w:rPr>
          <w:rFonts w:ascii="Gill Sans" w:hAnsi="Gill Sans" w:cs="Gill Sans"/>
          <w:lang w:val="en-US"/>
        </w:rPr>
        <w:t xml:space="preserve">Challenges still persist for young people trying to adopt healthier and more sustainable eating habits; for example, the availability and cost of </w:t>
      </w:r>
      <w:proofErr w:type="spellStart"/>
      <w:r w:rsidRPr="00335146">
        <w:rPr>
          <w:rFonts w:ascii="Gill Sans" w:hAnsi="Gill Sans" w:cs="Gill Sans"/>
          <w:lang w:val="en-US"/>
        </w:rPr>
        <w:t>healthy</w:t>
      </w:r>
      <w:proofErr w:type="spellEnd"/>
      <w:r w:rsidRPr="00335146">
        <w:rPr>
          <w:rFonts w:ascii="Gill Sans" w:hAnsi="Gill Sans" w:cs="Gill Sans"/>
          <w:lang w:val="en-US"/>
        </w:rPr>
        <w:t xml:space="preserve"> products can be significant barriers, especially in low-income communities. Additionally, information overload and misinformation online can make it difficult to make informed decisions. Therefore, it is crucial that education and awareness initiatives focus on providing clear and accessible information about health and food sustainability. By addressing these challenges and fostering an environment that supports responsible consumption decisions, we can further encourage young people to choose products that not only benefit their health but also contribute to a more sustainable future.</w:t>
      </w:r>
    </w:p>
    <w:p w14:paraId="3A797C93" w14:textId="77777777" w:rsidR="00150A3D" w:rsidRPr="00A34B5E" w:rsidRDefault="00150A3D" w:rsidP="00150A3D">
      <w:pPr>
        <w:jc w:val="both"/>
        <w:rPr>
          <w:rFonts w:ascii="Gill Sans MT" w:hAnsi="Gill Sans MT"/>
          <w:iCs/>
          <w:lang w:val="en-US"/>
        </w:rPr>
      </w:pPr>
    </w:p>
    <w:p w14:paraId="16D24364" w14:textId="01A6FE0A" w:rsidR="00477CD8" w:rsidRPr="00150A3D" w:rsidRDefault="002B4885" w:rsidP="009D2121">
      <w:pPr>
        <w:jc w:val="both"/>
        <w:rPr>
          <w:rFonts w:ascii="Gill Sans MT" w:hAnsi="Gill Sans MT"/>
          <w:b/>
          <w:bCs/>
          <w:lang w:val="en-US" w:eastAsia="en-US"/>
        </w:rPr>
      </w:pPr>
      <w:r w:rsidRPr="00150A3D">
        <w:rPr>
          <w:rFonts w:ascii="Gill Sans MT" w:hAnsi="Gill Sans MT"/>
          <w:b/>
          <w:bCs/>
          <w:lang w:val="en-US" w:eastAsia="en-US"/>
        </w:rPr>
        <w:t>MATERIALS Y M</w:t>
      </w:r>
      <w:r w:rsidR="00194110" w:rsidRPr="00150A3D">
        <w:rPr>
          <w:rFonts w:ascii="Gill Sans MT" w:hAnsi="Gill Sans MT"/>
          <w:b/>
          <w:bCs/>
          <w:lang w:val="en-US" w:eastAsia="en-US"/>
        </w:rPr>
        <w:t>E</w:t>
      </w:r>
      <w:r w:rsidRPr="00150A3D">
        <w:rPr>
          <w:rFonts w:ascii="Gill Sans MT" w:hAnsi="Gill Sans MT"/>
          <w:b/>
          <w:bCs/>
          <w:lang w:val="en-US" w:eastAsia="en-US"/>
        </w:rPr>
        <w:t>T</w:t>
      </w:r>
      <w:r w:rsidR="00194110" w:rsidRPr="00150A3D">
        <w:rPr>
          <w:rFonts w:ascii="Gill Sans MT" w:hAnsi="Gill Sans MT"/>
          <w:b/>
          <w:bCs/>
          <w:lang w:val="en-US" w:eastAsia="en-US"/>
        </w:rPr>
        <w:t>H</w:t>
      </w:r>
      <w:r w:rsidRPr="00150A3D">
        <w:rPr>
          <w:rFonts w:ascii="Gill Sans MT" w:hAnsi="Gill Sans MT"/>
          <w:b/>
          <w:bCs/>
          <w:lang w:val="en-US" w:eastAsia="en-US"/>
        </w:rPr>
        <w:t>ODS</w:t>
      </w:r>
    </w:p>
    <w:p w14:paraId="0DFB42FE"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This study employed a quantitative approach with the aim of analyzing the factors that influence college students’ willingness to pay for healthy products. To achieve this, key variables were identified through a questionnaire designed based on the specific objectives outlined in a review of the most relevant research articles on the topic.</w:t>
      </w:r>
    </w:p>
    <w:p w14:paraId="43AF2AAC" w14:textId="426E65AC"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A sample of 150 participants was selected from among university students. Participation was strictly voluntary, and to ensure the study’s authenticity, surveys were conducted both online and in person. Additionally, before the survey began, participants received a brief introduction to the topic and the research objective. </w:t>
      </w:r>
    </w:p>
    <w:p w14:paraId="3204EA1E"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The questionnaire consisted of 24 items designed to gather the information necessary to achieve the research objective. To ensure that the questionnaire was aligned with the study’s objective, the questions were formulated based on the specific objectives and a review of a series of scientific articles selected as references.</w:t>
      </w:r>
    </w:p>
    <w:p w14:paraId="7E498BAB" w14:textId="381CC2EA" w:rsidR="00335146" w:rsidRPr="00335146" w:rsidRDefault="00335146" w:rsidP="00335146">
      <w:pPr>
        <w:jc w:val="both"/>
        <w:rPr>
          <w:rFonts w:ascii="Gill Sans" w:hAnsi="Gill Sans" w:cs="Gill Sans"/>
          <w:lang w:val="en-US"/>
        </w:rPr>
      </w:pPr>
      <w:r w:rsidRPr="00335146">
        <w:rPr>
          <w:rFonts w:ascii="Gill Sans" w:hAnsi="Gill Sans" w:cs="Gill Sans"/>
          <w:lang w:val="en-US"/>
        </w:rPr>
        <w:t>Data collection was carried out using a form on the Google Forms platform, which was available for one week to allow sufficient time for respondents to answer. This tool was extremely helpful for the efficient collection and organization of data.</w:t>
      </w:r>
    </w:p>
    <w:p w14:paraId="16195594" w14:textId="77777777" w:rsidR="00335146" w:rsidRDefault="00335146" w:rsidP="00335146">
      <w:pPr>
        <w:jc w:val="both"/>
        <w:rPr>
          <w:rFonts w:ascii="Gill Sans" w:hAnsi="Gill Sans" w:cs="Gill Sans"/>
          <w:lang w:val="en-US"/>
        </w:rPr>
      </w:pPr>
      <w:r w:rsidRPr="00335146">
        <w:rPr>
          <w:rFonts w:ascii="Gill Sans" w:hAnsi="Gill Sans" w:cs="Gill Sans"/>
          <w:lang w:val="en-US"/>
        </w:rPr>
        <w:t>After reaching 150 surveys, the data were exported to Excel for subsequent processing in SPSS. This analysis was conducted to determine the frequency of the variables studied, thereby enabling an optimal interpretation of the collected data.</w:t>
      </w:r>
    </w:p>
    <w:p w14:paraId="121CCBC3" w14:textId="14C64A33" w:rsidR="00A34B5E" w:rsidRDefault="00150A3D" w:rsidP="00335146">
      <w:pPr>
        <w:ind w:right="-7"/>
        <w:jc w:val="both"/>
        <w:rPr>
          <w:rFonts w:ascii="Gill Sans" w:hAnsi="Gill Sans" w:cs="Gill Sans"/>
          <w:lang w:val="en-US"/>
        </w:rPr>
      </w:pPr>
      <w:r w:rsidRPr="00150A3D">
        <w:rPr>
          <w:rFonts w:ascii="Gill Sans" w:hAnsi="Gill Sans" w:cs="Gill Sans"/>
          <w:lang w:val="en-US"/>
        </w:rPr>
        <w:t xml:space="preserve">     </w:t>
      </w:r>
    </w:p>
    <w:p w14:paraId="36E37D0D" w14:textId="77777777" w:rsidR="00335146" w:rsidRDefault="00335146" w:rsidP="00335146">
      <w:pPr>
        <w:ind w:right="-7"/>
        <w:jc w:val="both"/>
        <w:rPr>
          <w:rFonts w:ascii="Gill Sans" w:hAnsi="Gill Sans" w:cs="Gill Sans"/>
          <w:lang w:val="en-US"/>
        </w:rPr>
      </w:pPr>
    </w:p>
    <w:p w14:paraId="6F9133EA" w14:textId="77777777" w:rsidR="00335146" w:rsidRDefault="00335146" w:rsidP="00335146">
      <w:pPr>
        <w:ind w:right="-7"/>
        <w:jc w:val="both"/>
        <w:rPr>
          <w:rFonts w:ascii="Gill Sans" w:hAnsi="Gill Sans" w:cs="Gill Sans"/>
          <w:lang w:val="en-US"/>
        </w:rPr>
      </w:pPr>
    </w:p>
    <w:p w14:paraId="7C178822" w14:textId="77777777" w:rsidR="001B79F3" w:rsidRPr="00A34B5E" w:rsidRDefault="001B79F3" w:rsidP="00335146">
      <w:pPr>
        <w:ind w:right="-7"/>
        <w:jc w:val="both"/>
        <w:rPr>
          <w:rFonts w:ascii="Gill Sans" w:hAnsi="Gill Sans" w:cs="Gill Sans"/>
          <w:lang w:val="en-US"/>
        </w:rPr>
      </w:pPr>
    </w:p>
    <w:p w14:paraId="38C090DD" w14:textId="51745A50" w:rsidR="00477CD8" w:rsidRPr="00EE42F4" w:rsidRDefault="002B4885">
      <w:pPr>
        <w:ind w:right="-7"/>
        <w:jc w:val="both"/>
        <w:rPr>
          <w:rFonts w:ascii="Gill Sans MT" w:hAnsi="Gill Sans MT"/>
          <w:b/>
          <w:bCs/>
          <w:lang w:val="en-US" w:eastAsia="en-US"/>
        </w:rPr>
      </w:pPr>
      <w:r w:rsidRPr="00EE42F4">
        <w:rPr>
          <w:rFonts w:ascii="Gill Sans MT" w:hAnsi="Gill Sans MT"/>
          <w:b/>
          <w:bCs/>
          <w:lang w:val="en-US" w:eastAsia="en-US"/>
        </w:rPr>
        <w:lastRenderedPageBreak/>
        <w:t>RESULTS</w:t>
      </w:r>
    </w:p>
    <w:p w14:paraId="7240D3D0" w14:textId="77777777" w:rsidR="00335146" w:rsidRDefault="00335146" w:rsidP="00335146">
      <w:pPr>
        <w:jc w:val="both"/>
        <w:rPr>
          <w:rFonts w:ascii="Gill Sans" w:hAnsi="Gill Sans" w:cs="Gill Sans"/>
          <w:lang w:val="en-US"/>
        </w:rPr>
      </w:pPr>
      <w:r w:rsidRPr="00335146">
        <w:rPr>
          <w:rFonts w:ascii="Gill Sans" w:hAnsi="Gill Sans" w:cs="Gill Sans"/>
          <w:lang w:val="en-US"/>
        </w:rPr>
        <w:t>To analyze the results, data were collected through field and online research, based on the aforementioned sample of 150 people. SPSS software was used to process the information, which facilitated the accurate tabulation of the data obtained. The tables presenting the study results are provided below.</w:t>
      </w:r>
    </w:p>
    <w:p w14:paraId="741F4BE1" w14:textId="77777777" w:rsidR="00335146" w:rsidRPr="00335146" w:rsidRDefault="00335146" w:rsidP="00335146">
      <w:pPr>
        <w:jc w:val="both"/>
        <w:rPr>
          <w:rFonts w:ascii="Gill Sans" w:hAnsi="Gill Sans" w:cs="Gill Sans"/>
          <w:lang w:val="en-US"/>
        </w:rPr>
      </w:pPr>
    </w:p>
    <w:p w14:paraId="027EA668" w14:textId="266CFAC8" w:rsidR="00335146" w:rsidRPr="00335146" w:rsidRDefault="00335146" w:rsidP="00335146">
      <w:pPr>
        <w:jc w:val="both"/>
        <w:rPr>
          <w:rFonts w:ascii="Gill Sans" w:hAnsi="Gill Sans" w:cs="Gill Sans"/>
          <w:lang w:val="en-US"/>
        </w:rPr>
      </w:pPr>
      <w:r w:rsidRPr="00335146">
        <w:rPr>
          <w:rFonts w:ascii="Gill Sans" w:hAnsi="Gill Sans" w:cs="Gill Sans"/>
          <w:b/>
          <w:bCs/>
          <w:lang w:val="en-US"/>
        </w:rPr>
        <w:t>Table 1.</w:t>
      </w:r>
      <w:r>
        <w:rPr>
          <w:rFonts w:ascii="Gill Sans" w:hAnsi="Gill Sans" w:cs="Gill Sans"/>
          <w:lang w:val="en-US"/>
        </w:rPr>
        <w:t xml:space="preserve"> </w:t>
      </w:r>
      <w:r w:rsidRPr="00335146">
        <w:rPr>
          <w:rFonts w:ascii="Gill Sans" w:hAnsi="Gill Sans" w:cs="Gill Sans"/>
          <w:i/>
          <w:iCs/>
          <w:lang w:val="en-US"/>
        </w:rPr>
        <w:t>Demographics.</w:t>
      </w:r>
    </w:p>
    <w:tbl>
      <w:tblPr>
        <w:tblStyle w:val="Tablaconcuadrcul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123"/>
        <w:gridCol w:w="2124"/>
        <w:gridCol w:w="2124"/>
      </w:tblGrid>
      <w:tr w:rsidR="00335146" w:rsidRPr="00F44B56" w14:paraId="7927191C" w14:textId="77777777" w:rsidTr="000E7012">
        <w:tc>
          <w:tcPr>
            <w:tcW w:w="2123" w:type="dxa"/>
            <w:tcBorders>
              <w:top w:val="single" w:sz="4" w:space="0" w:color="auto"/>
              <w:bottom w:val="single" w:sz="4" w:space="0" w:color="auto"/>
            </w:tcBorders>
          </w:tcPr>
          <w:p w14:paraId="3DDDA000"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bottom w:val="single" w:sz="4" w:space="0" w:color="auto"/>
            </w:tcBorders>
          </w:tcPr>
          <w:p w14:paraId="7A4FF591"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bottom w:val="single" w:sz="4" w:space="0" w:color="auto"/>
            </w:tcBorders>
          </w:tcPr>
          <w:p w14:paraId="688CA62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bottom w:val="single" w:sz="4" w:space="0" w:color="auto"/>
            </w:tcBorders>
          </w:tcPr>
          <w:p w14:paraId="76CEDDFD"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RESULTADOS</w:t>
            </w:r>
          </w:p>
        </w:tc>
      </w:tr>
      <w:tr w:rsidR="00335146" w:rsidRPr="00F44B56" w14:paraId="39DB9C69" w14:textId="77777777" w:rsidTr="000E7012">
        <w:tc>
          <w:tcPr>
            <w:tcW w:w="2123" w:type="dxa"/>
            <w:vMerge w:val="restart"/>
            <w:tcBorders>
              <w:top w:val="single" w:sz="4" w:space="0" w:color="auto"/>
              <w:bottom w:val="nil"/>
            </w:tcBorders>
            <w:vAlign w:val="center"/>
          </w:tcPr>
          <w:p w14:paraId="6BFB3E1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Edad</w:t>
            </w:r>
          </w:p>
        </w:tc>
        <w:tc>
          <w:tcPr>
            <w:tcW w:w="2123" w:type="dxa"/>
            <w:tcBorders>
              <w:top w:val="single" w:sz="4" w:space="0" w:color="auto"/>
              <w:bottom w:val="single" w:sz="4" w:space="0" w:color="auto"/>
            </w:tcBorders>
          </w:tcPr>
          <w:p w14:paraId="20898FA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21-23 años.</w:t>
            </w:r>
          </w:p>
        </w:tc>
        <w:tc>
          <w:tcPr>
            <w:tcW w:w="2124" w:type="dxa"/>
            <w:tcBorders>
              <w:top w:val="single" w:sz="4" w:space="0" w:color="auto"/>
              <w:bottom w:val="single" w:sz="4" w:space="0" w:color="auto"/>
            </w:tcBorders>
            <w:vAlign w:val="center"/>
          </w:tcPr>
          <w:p w14:paraId="58590CC0"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87</w:t>
            </w:r>
          </w:p>
        </w:tc>
        <w:tc>
          <w:tcPr>
            <w:tcW w:w="2124" w:type="dxa"/>
            <w:tcBorders>
              <w:top w:val="single" w:sz="4" w:space="0" w:color="auto"/>
              <w:bottom w:val="single" w:sz="4" w:space="0" w:color="auto"/>
            </w:tcBorders>
            <w:vAlign w:val="center"/>
          </w:tcPr>
          <w:p w14:paraId="6B4B1117"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58%</w:t>
            </w:r>
          </w:p>
        </w:tc>
      </w:tr>
      <w:tr w:rsidR="00335146" w:rsidRPr="00F44B56" w14:paraId="1EE78DB1" w14:textId="77777777" w:rsidTr="000E7012">
        <w:tc>
          <w:tcPr>
            <w:tcW w:w="2123" w:type="dxa"/>
            <w:vMerge/>
            <w:tcBorders>
              <w:top w:val="nil"/>
              <w:bottom w:val="single" w:sz="4" w:space="0" w:color="auto"/>
            </w:tcBorders>
          </w:tcPr>
          <w:p w14:paraId="390C4821"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2737E79E"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18-20 años.</w:t>
            </w:r>
          </w:p>
        </w:tc>
        <w:tc>
          <w:tcPr>
            <w:tcW w:w="2124" w:type="dxa"/>
            <w:tcBorders>
              <w:top w:val="single" w:sz="4" w:space="0" w:color="auto"/>
              <w:bottom w:val="single" w:sz="4" w:space="0" w:color="auto"/>
            </w:tcBorders>
            <w:vAlign w:val="center"/>
          </w:tcPr>
          <w:p w14:paraId="26BD52C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30</w:t>
            </w:r>
          </w:p>
        </w:tc>
        <w:tc>
          <w:tcPr>
            <w:tcW w:w="2124" w:type="dxa"/>
            <w:tcBorders>
              <w:top w:val="single" w:sz="4" w:space="0" w:color="auto"/>
              <w:bottom w:val="single" w:sz="4" w:space="0" w:color="auto"/>
            </w:tcBorders>
            <w:vAlign w:val="center"/>
          </w:tcPr>
          <w:p w14:paraId="481D162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20%</w:t>
            </w:r>
          </w:p>
        </w:tc>
      </w:tr>
      <w:tr w:rsidR="00335146" w:rsidRPr="00F44B56" w14:paraId="3B83ABB5" w14:textId="77777777" w:rsidTr="000E7012">
        <w:tc>
          <w:tcPr>
            <w:tcW w:w="2123" w:type="dxa"/>
            <w:vMerge w:val="restart"/>
            <w:tcBorders>
              <w:top w:val="single" w:sz="4" w:space="0" w:color="auto"/>
              <w:bottom w:val="nil"/>
            </w:tcBorders>
            <w:vAlign w:val="center"/>
          </w:tcPr>
          <w:p w14:paraId="343389A1"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Genero</w:t>
            </w:r>
          </w:p>
        </w:tc>
        <w:tc>
          <w:tcPr>
            <w:tcW w:w="2123" w:type="dxa"/>
            <w:tcBorders>
              <w:top w:val="single" w:sz="4" w:space="0" w:color="auto"/>
              <w:bottom w:val="single" w:sz="4" w:space="0" w:color="auto"/>
            </w:tcBorders>
          </w:tcPr>
          <w:p w14:paraId="3833C685" w14:textId="77777777" w:rsidR="00335146" w:rsidRPr="00F44B56" w:rsidRDefault="00335146" w:rsidP="000E7012">
            <w:pPr>
              <w:rPr>
                <w:rFonts w:ascii="Gill Sans" w:hAnsi="Gill Sans" w:cs="Gill Sans"/>
                <w:sz w:val="18"/>
                <w:szCs w:val="18"/>
              </w:rPr>
            </w:pPr>
            <w:r w:rsidRPr="00F44B56">
              <w:rPr>
                <w:rFonts w:ascii="Gill Sans" w:hAnsi="Gill Sans" w:cs="Gill Sans" w:hint="cs"/>
                <w:color w:val="000000"/>
                <w:sz w:val="18"/>
                <w:szCs w:val="18"/>
                <w:shd w:val="clear" w:color="auto" w:fill="FFFFFF"/>
              </w:rPr>
              <w:t>Masculino.</w:t>
            </w:r>
          </w:p>
        </w:tc>
        <w:tc>
          <w:tcPr>
            <w:tcW w:w="2124" w:type="dxa"/>
            <w:tcBorders>
              <w:top w:val="single" w:sz="4" w:space="0" w:color="auto"/>
              <w:bottom w:val="single" w:sz="4" w:space="0" w:color="auto"/>
            </w:tcBorders>
            <w:vAlign w:val="center"/>
          </w:tcPr>
          <w:p w14:paraId="3553BEC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83</w:t>
            </w:r>
          </w:p>
        </w:tc>
        <w:tc>
          <w:tcPr>
            <w:tcW w:w="2124" w:type="dxa"/>
            <w:tcBorders>
              <w:top w:val="single" w:sz="4" w:space="0" w:color="auto"/>
              <w:bottom w:val="single" w:sz="4" w:space="0" w:color="auto"/>
            </w:tcBorders>
            <w:vAlign w:val="center"/>
          </w:tcPr>
          <w:p w14:paraId="68CA7F54"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54.7%</w:t>
            </w:r>
          </w:p>
        </w:tc>
      </w:tr>
      <w:tr w:rsidR="00335146" w:rsidRPr="00F44B56" w14:paraId="431204B7" w14:textId="77777777" w:rsidTr="000E7012">
        <w:tc>
          <w:tcPr>
            <w:tcW w:w="2123" w:type="dxa"/>
            <w:vMerge/>
            <w:tcBorders>
              <w:top w:val="nil"/>
              <w:bottom w:val="single" w:sz="4" w:space="0" w:color="auto"/>
            </w:tcBorders>
          </w:tcPr>
          <w:p w14:paraId="455F11B3"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6B36DCC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Femenino.</w:t>
            </w:r>
          </w:p>
        </w:tc>
        <w:tc>
          <w:tcPr>
            <w:tcW w:w="2124" w:type="dxa"/>
            <w:tcBorders>
              <w:top w:val="single" w:sz="4" w:space="0" w:color="auto"/>
              <w:bottom w:val="single" w:sz="4" w:space="0" w:color="auto"/>
            </w:tcBorders>
            <w:vAlign w:val="center"/>
          </w:tcPr>
          <w:p w14:paraId="32C10647"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67</w:t>
            </w:r>
          </w:p>
        </w:tc>
        <w:tc>
          <w:tcPr>
            <w:tcW w:w="2124" w:type="dxa"/>
            <w:tcBorders>
              <w:top w:val="single" w:sz="4" w:space="0" w:color="auto"/>
              <w:bottom w:val="single" w:sz="4" w:space="0" w:color="auto"/>
            </w:tcBorders>
            <w:vAlign w:val="center"/>
          </w:tcPr>
          <w:p w14:paraId="321AA3FE"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44%</w:t>
            </w:r>
          </w:p>
        </w:tc>
      </w:tr>
      <w:tr w:rsidR="00335146" w:rsidRPr="00F44B56" w14:paraId="74C6DB4F" w14:textId="77777777" w:rsidTr="000E7012">
        <w:tc>
          <w:tcPr>
            <w:tcW w:w="2123" w:type="dxa"/>
            <w:vMerge w:val="restart"/>
            <w:tcBorders>
              <w:top w:val="single" w:sz="4" w:space="0" w:color="auto"/>
            </w:tcBorders>
            <w:vAlign w:val="center"/>
          </w:tcPr>
          <w:p w14:paraId="254BB83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Facultad en la que pertenecen</w:t>
            </w:r>
          </w:p>
        </w:tc>
        <w:tc>
          <w:tcPr>
            <w:tcW w:w="2123" w:type="dxa"/>
            <w:tcBorders>
              <w:top w:val="single" w:sz="4" w:space="0" w:color="auto"/>
              <w:bottom w:val="single" w:sz="4" w:space="0" w:color="auto"/>
            </w:tcBorders>
          </w:tcPr>
          <w:p w14:paraId="64E73115" w14:textId="77777777" w:rsidR="00335146" w:rsidRPr="00F44B56" w:rsidRDefault="00335146" w:rsidP="000E7012">
            <w:pPr>
              <w:rPr>
                <w:rFonts w:ascii="Gill Sans" w:hAnsi="Gill Sans" w:cs="Gill Sans"/>
                <w:sz w:val="18"/>
                <w:szCs w:val="18"/>
              </w:rPr>
            </w:pPr>
            <w:r w:rsidRPr="00F44B56">
              <w:rPr>
                <w:rFonts w:ascii="Gill Sans" w:hAnsi="Gill Sans" w:cs="Gill Sans" w:hint="cs"/>
                <w:color w:val="000000"/>
                <w:sz w:val="18"/>
                <w:szCs w:val="18"/>
                <w:shd w:val="clear" w:color="auto" w:fill="FFFFFF"/>
              </w:rPr>
              <w:t>Facultad de Ciencias Empresariales.</w:t>
            </w:r>
          </w:p>
        </w:tc>
        <w:tc>
          <w:tcPr>
            <w:tcW w:w="2124" w:type="dxa"/>
            <w:tcBorders>
              <w:top w:val="single" w:sz="4" w:space="0" w:color="auto"/>
              <w:bottom w:val="single" w:sz="4" w:space="0" w:color="auto"/>
            </w:tcBorders>
            <w:vAlign w:val="center"/>
          </w:tcPr>
          <w:p w14:paraId="1452CC52"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79</w:t>
            </w:r>
          </w:p>
        </w:tc>
        <w:tc>
          <w:tcPr>
            <w:tcW w:w="2124" w:type="dxa"/>
            <w:tcBorders>
              <w:top w:val="single" w:sz="4" w:space="0" w:color="auto"/>
              <w:bottom w:val="single" w:sz="4" w:space="0" w:color="auto"/>
            </w:tcBorders>
            <w:vAlign w:val="center"/>
          </w:tcPr>
          <w:p w14:paraId="4775298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52.7%</w:t>
            </w:r>
          </w:p>
        </w:tc>
      </w:tr>
      <w:tr w:rsidR="00335146" w:rsidRPr="00F44B56" w14:paraId="6FB4A167" w14:textId="77777777" w:rsidTr="000E7012">
        <w:tc>
          <w:tcPr>
            <w:tcW w:w="2123" w:type="dxa"/>
            <w:vMerge/>
          </w:tcPr>
          <w:p w14:paraId="0BD8598B"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05EFD5EF" w14:textId="77777777" w:rsidR="00335146" w:rsidRPr="00F44B56" w:rsidRDefault="00335146" w:rsidP="000E7012">
            <w:pPr>
              <w:rPr>
                <w:rFonts w:ascii="Gill Sans" w:hAnsi="Gill Sans" w:cs="Gill Sans"/>
                <w:sz w:val="18"/>
                <w:szCs w:val="18"/>
              </w:rPr>
            </w:pPr>
            <w:r w:rsidRPr="00F44B56">
              <w:rPr>
                <w:rFonts w:ascii="Gill Sans" w:hAnsi="Gill Sans" w:cs="Gill Sans" w:hint="cs"/>
                <w:color w:val="000000"/>
                <w:sz w:val="18"/>
                <w:szCs w:val="18"/>
                <w:shd w:val="clear" w:color="auto" w:fill="FFFFFF"/>
              </w:rPr>
              <w:t>Facultad de Ciencias de la Educación.</w:t>
            </w:r>
          </w:p>
        </w:tc>
        <w:tc>
          <w:tcPr>
            <w:tcW w:w="2124" w:type="dxa"/>
            <w:tcBorders>
              <w:top w:val="single" w:sz="4" w:space="0" w:color="auto"/>
              <w:bottom w:val="single" w:sz="4" w:space="0" w:color="auto"/>
            </w:tcBorders>
            <w:vAlign w:val="center"/>
          </w:tcPr>
          <w:p w14:paraId="5CEEDA4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23</w:t>
            </w:r>
          </w:p>
        </w:tc>
        <w:tc>
          <w:tcPr>
            <w:tcW w:w="2124" w:type="dxa"/>
            <w:tcBorders>
              <w:top w:val="single" w:sz="4" w:space="0" w:color="auto"/>
              <w:bottom w:val="single" w:sz="4" w:space="0" w:color="auto"/>
            </w:tcBorders>
            <w:vAlign w:val="center"/>
          </w:tcPr>
          <w:p w14:paraId="5238FFA8"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15.3%</w:t>
            </w:r>
          </w:p>
        </w:tc>
      </w:tr>
      <w:tr w:rsidR="00335146" w:rsidRPr="00F44B56" w14:paraId="055E2E20" w14:textId="77777777" w:rsidTr="000E7012">
        <w:tc>
          <w:tcPr>
            <w:tcW w:w="2123" w:type="dxa"/>
            <w:vMerge/>
            <w:tcBorders>
              <w:bottom w:val="single" w:sz="4" w:space="0" w:color="auto"/>
            </w:tcBorders>
          </w:tcPr>
          <w:p w14:paraId="7FA0D04B"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5763D264" w14:textId="77777777" w:rsidR="00335146" w:rsidRPr="00F44B56" w:rsidRDefault="00335146" w:rsidP="000E7012">
            <w:pPr>
              <w:rPr>
                <w:rFonts w:ascii="Gill Sans" w:hAnsi="Gill Sans" w:cs="Gill Sans"/>
                <w:color w:val="000000"/>
                <w:sz w:val="18"/>
                <w:szCs w:val="18"/>
                <w:shd w:val="clear" w:color="auto" w:fill="FFFFFF"/>
              </w:rPr>
            </w:pPr>
            <w:r w:rsidRPr="00F44B56">
              <w:rPr>
                <w:rFonts w:ascii="Gill Sans" w:hAnsi="Gill Sans" w:cs="Gill Sans" w:hint="cs"/>
                <w:color w:val="000000"/>
                <w:sz w:val="18"/>
                <w:szCs w:val="18"/>
                <w:shd w:val="clear" w:color="auto" w:fill="FFFFFF"/>
              </w:rPr>
              <w:t>Facultad de Ciencias Agropecuarias</w:t>
            </w:r>
          </w:p>
        </w:tc>
        <w:tc>
          <w:tcPr>
            <w:tcW w:w="2124" w:type="dxa"/>
            <w:tcBorders>
              <w:top w:val="single" w:sz="4" w:space="0" w:color="auto"/>
              <w:bottom w:val="single" w:sz="4" w:space="0" w:color="auto"/>
            </w:tcBorders>
            <w:vAlign w:val="center"/>
          </w:tcPr>
          <w:p w14:paraId="2B8B3DFD"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15</w:t>
            </w:r>
          </w:p>
        </w:tc>
        <w:tc>
          <w:tcPr>
            <w:tcW w:w="2124" w:type="dxa"/>
            <w:tcBorders>
              <w:top w:val="single" w:sz="4" w:space="0" w:color="auto"/>
              <w:bottom w:val="single" w:sz="4" w:space="0" w:color="auto"/>
            </w:tcBorders>
            <w:vAlign w:val="center"/>
          </w:tcPr>
          <w:p w14:paraId="17D5EFD3"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10%</w:t>
            </w:r>
          </w:p>
        </w:tc>
      </w:tr>
      <w:tr w:rsidR="00335146" w:rsidRPr="00F44B56" w14:paraId="780E8B00" w14:textId="77777777" w:rsidTr="000E7012">
        <w:tc>
          <w:tcPr>
            <w:tcW w:w="2123" w:type="dxa"/>
            <w:vMerge w:val="restart"/>
          </w:tcPr>
          <w:p w14:paraId="091C2525" w14:textId="77777777" w:rsidR="00335146" w:rsidRPr="00F44B56" w:rsidRDefault="00335146" w:rsidP="000E7012">
            <w:pPr>
              <w:rPr>
                <w:rFonts w:ascii="Gill Sans" w:hAnsi="Gill Sans" w:cs="Gill Sans"/>
                <w:sz w:val="18"/>
                <w:szCs w:val="18"/>
              </w:rPr>
            </w:pPr>
          </w:p>
          <w:p w14:paraId="17C9B3A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Nivel académico</w:t>
            </w:r>
          </w:p>
        </w:tc>
        <w:tc>
          <w:tcPr>
            <w:tcW w:w="2123" w:type="dxa"/>
            <w:tcBorders>
              <w:top w:val="single" w:sz="4" w:space="0" w:color="auto"/>
              <w:bottom w:val="single" w:sz="4" w:space="0" w:color="auto"/>
            </w:tcBorders>
          </w:tcPr>
          <w:p w14:paraId="2FFE5594" w14:textId="77777777" w:rsidR="00335146" w:rsidRPr="00F44B56" w:rsidRDefault="00335146" w:rsidP="000E7012">
            <w:pPr>
              <w:rPr>
                <w:rFonts w:ascii="Gill Sans" w:hAnsi="Gill Sans" w:cs="Gill Sans"/>
                <w:color w:val="000000"/>
                <w:sz w:val="18"/>
                <w:szCs w:val="18"/>
                <w:shd w:val="clear" w:color="auto" w:fill="FFFFFF"/>
              </w:rPr>
            </w:pPr>
            <w:r w:rsidRPr="00F44B56">
              <w:rPr>
                <w:rFonts w:ascii="Gill Sans" w:hAnsi="Gill Sans" w:cs="Gill Sans" w:hint="cs"/>
                <w:color w:val="000000"/>
                <w:sz w:val="18"/>
                <w:szCs w:val="18"/>
                <w:shd w:val="clear" w:color="auto" w:fill="FFFFFF"/>
              </w:rPr>
              <w:t>7 en adelante.</w:t>
            </w:r>
          </w:p>
        </w:tc>
        <w:tc>
          <w:tcPr>
            <w:tcW w:w="2124" w:type="dxa"/>
            <w:tcBorders>
              <w:top w:val="single" w:sz="4" w:space="0" w:color="auto"/>
              <w:bottom w:val="single" w:sz="4" w:space="0" w:color="auto"/>
            </w:tcBorders>
            <w:vAlign w:val="center"/>
          </w:tcPr>
          <w:p w14:paraId="4B25D9E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66</w:t>
            </w:r>
          </w:p>
        </w:tc>
        <w:tc>
          <w:tcPr>
            <w:tcW w:w="2124" w:type="dxa"/>
            <w:tcBorders>
              <w:top w:val="single" w:sz="4" w:space="0" w:color="auto"/>
              <w:bottom w:val="single" w:sz="4" w:space="0" w:color="auto"/>
            </w:tcBorders>
            <w:vAlign w:val="center"/>
          </w:tcPr>
          <w:p w14:paraId="0625ED5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44%</w:t>
            </w:r>
          </w:p>
        </w:tc>
      </w:tr>
      <w:tr w:rsidR="00335146" w:rsidRPr="00F44B56" w14:paraId="5F53B231" w14:textId="77777777" w:rsidTr="000E7012">
        <w:tc>
          <w:tcPr>
            <w:tcW w:w="2123" w:type="dxa"/>
            <w:vMerge/>
          </w:tcPr>
          <w:p w14:paraId="60F776E2"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1098ADEC" w14:textId="77777777" w:rsidR="00335146" w:rsidRPr="00F44B56" w:rsidRDefault="00335146" w:rsidP="000E7012">
            <w:pPr>
              <w:rPr>
                <w:rFonts w:ascii="Gill Sans" w:hAnsi="Gill Sans" w:cs="Gill Sans"/>
                <w:color w:val="000000"/>
                <w:sz w:val="18"/>
                <w:szCs w:val="18"/>
                <w:shd w:val="clear" w:color="auto" w:fill="FFFFFF"/>
              </w:rPr>
            </w:pPr>
            <w:r w:rsidRPr="00F44B56">
              <w:rPr>
                <w:rFonts w:ascii="Gill Sans" w:hAnsi="Gill Sans" w:cs="Gill Sans" w:hint="cs"/>
                <w:color w:val="000000"/>
                <w:sz w:val="18"/>
                <w:szCs w:val="18"/>
                <w:shd w:val="clear" w:color="auto" w:fill="FFFFFF"/>
              </w:rPr>
              <w:t>4-6 semestre.</w:t>
            </w:r>
          </w:p>
        </w:tc>
        <w:tc>
          <w:tcPr>
            <w:tcW w:w="2124" w:type="dxa"/>
            <w:tcBorders>
              <w:top w:val="single" w:sz="4" w:space="0" w:color="auto"/>
              <w:bottom w:val="single" w:sz="4" w:space="0" w:color="auto"/>
            </w:tcBorders>
            <w:vAlign w:val="center"/>
          </w:tcPr>
          <w:p w14:paraId="4C54E6D7"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bottom w:val="single" w:sz="4" w:space="0" w:color="auto"/>
            </w:tcBorders>
            <w:vAlign w:val="center"/>
          </w:tcPr>
          <w:p w14:paraId="7028911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r>
      <w:tr w:rsidR="00335146" w:rsidRPr="00F44B56" w14:paraId="606CA84B" w14:textId="77777777" w:rsidTr="000E7012">
        <w:tc>
          <w:tcPr>
            <w:tcW w:w="2123" w:type="dxa"/>
            <w:vMerge/>
            <w:tcBorders>
              <w:bottom w:val="single" w:sz="4" w:space="0" w:color="auto"/>
            </w:tcBorders>
          </w:tcPr>
          <w:p w14:paraId="28E7E588" w14:textId="77777777" w:rsidR="00335146" w:rsidRPr="00F44B56" w:rsidRDefault="00335146" w:rsidP="000E7012">
            <w:pPr>
              <w:rPr>
                <w:rFonts w:ascii="Gill Sans" w:hAnsi="Gill Sans" w:cs="Gill Sans"/>
                <w:sz w:val="18"/>
                <w:szCs w:val="18"/>
              </w:rPr>
            </w:pPr>
          </w:p>
        </w:tc>
        <w:tc>
          <w:tcPr>
            <w:tcW w:w="2123" w:type="dxa"/>
            <w:tcBorders>
              <w:top w:val="single" w:sz="4" w:space="0" w:color="auto"/>
              <w:bottom w:val="single" w:sz="4" w:space="0" w:color="auto"/>
            </w:tcBorders>
          </w:tcPr>
          <w:p w14:paraId="635D632D" w14:textId="77777777" w:rsidR="00335146" w:rsidRPr="00F44B56" w:rsidRDefault="00335146" w:rsidP="000E7012">
            <w:pPr>
              <w:rPr>
                <w:rFonts w:ascii="Gill Sans" w:hAnsi="Gill Sans" w:cs="Gill Sans"/>
                <w:color w:val="000000"/>
                <w:sz w:val="18"/>
                <w:szCs w:val="18"/>
                <w:shd w:val="clear" w:color="auto" w:fill="FFFFFF"/>
              </w:rPr>
            </w:pPr>
            <w:r w:rsidRPr="00F44B56">
              <w:rPr>
                <w:rFonts w:ascii="Gill Sans" w:hAnsi="Gill Sans" w:cs="Gill Sans" w:hint="cs"/>
                <w:color w:val="000000"/>
                <w:sz w:val="18"/>
                <w:szCs w:val="18"/>
                <w:shd w:val="clear" w:color="auto" w:fill="FFFFFF"/>
              </w:rPr>
              <w:t>1-3 semestre</w:t>
            </w:r>
          </w:p>
        </w:tc>
        <w:tc>
          <w:tcPr>
            <w:tcW w:w="2124" w:type="dxa"/>
            <w:tcBorders>
              <w:top w:val="single" w:sz="4" w:space="0" w:color="auto"/>
              <w:bottom w:val="single" w:sz="4" w:space="0" w:color="auto"/>
            </w:tcBorders>
            <w:vAlign w:val="center"/>
          </w:tcPr>
          <w:p w14:paraId="10B2AE3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27</w:t>
            </w:r>
          </w:p>
        </w:tc>
        <w:tc>
          <w:tcPr>
            <w:tcW w:w="2124" w:type="dxa"/>
            <w:tcBorders>
              <w:top w:val="single" w:sz="4" w:space="0" w:color="auto"/>
              <w:bottom w:val="single" w:sz="4" w:space="0" w:color="auto"/>
            </w:tcBorders>
            <w:vAlign w:val="center"/>
          </w:tcPr>
          <w:p w14:paraId="31D20092"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18%</w:t>
            </w:r>
          </w:p>
        </w:tc>
      </w:tr>
    </w:tbl>
    <w:p w14:paraId="455C20A8" w14:textId="77777777" w:rsidR="00335146" w:rsidRDefault="00335146" w:rsidP="00335146">
      <w:pPr>
        <w:jc w:val="both"/>
        <w:rPr>
          <w:rFonts w:ascii="Gill Sans" w:hAnsi="Gill Sans" w:cs="Gill Sans"/>
          <w:lang w:val="en-US"/>
        </w:rPr>
      </w:pPr>
    </w:p>
    <w:p w14:paraId="6AA8F7EF" w14:textId="4B70E709" w:rsidR="00335146" w:rsidRPr="00335146" w:rsidRDefault="00335146" w:rsidP="00335146">
      <w:pPr>
        <w:jc w:val="both"/>
        <w:rPr>
          <w:rFonts w:ascii="Gill Sans" w:hAnsi="Gill Sans" w:cs="Gill Sans"/>
          <w:lang w:val="en-US"/>
        </w:rPr>
      </w:pPr>
      <w:r w:rsidRPr="00335146">
        <w:rPr>
          <w:rFonts w:ascii="Gill Sans" w:hAnsi="Gill Sans" w:cs="Gill Sans"/>
          <w:lang w:val="en-US"/>
        </w:rPr>
        <w:t>Table 1 shows that most respondents are between 21 and 23 years old, confirming that the surveyed population consists of young adults. In terms of gender, the majority of respondents are male; however, the difference compared to females is not significant, so the opinions of each gender were obtained in a practically balanced manner. Among the respondents are college students from whom we also gathered information; the majority of these college students are from the School of Business, where they are already pursuing higher levels of academic study. Most of these students are in their 7th semester or higher, ensuring that the information provided is well-founded, as accurate and reliable as possible, and as objective as possible in this context.</w:t>
      </w:r>
    </w:p>
    <w:p w14:paraId="7F92C8B2" w14:textId="43BEB6B7" w:rsidR="00335146" w:rsidRPr="00335146" w:rsidRDefault="00335146" w:rsidP="00335146">
      <w:pPr>
        <w:jc w:val="both"/>
        <w:rPr>
          <w:rFonts w:ascii="Gill Sans" w:hAnsi="Gill Sans" w:cs="Gill Sans"/>
          <w:lang w:val="en-US"/>
        </w:rPr>
      </w:pPr>
      <w:r w:rsidRPr="00335146">
        <w:rPr>
          <w:rFonts w:ascii="Gill Sans" w:hAnsi="Gill Sans" w:cs="Gill Sans"/>
          <w:b/>
          <w:bCs/>
          <w:lang w:val="en-US"/>
        </w:rPr>
        <w:t>Table 2.</w:t>
      </w:r>
      <w:r>
        <w:rPr>
          <w:rFonts w:ascii="Gill Sans" w:hAnsi="Gill Sans" w:cs="Gill Sans"/>
          <w:lang w:val="en-US"/>
        </w:rPr>
        <w:t xml:space="preserve"> </w:t>
      </w:r>
      <w:r w:rsidRPr="00335146">
        <w:rPr>
          <w:rFonts w:ascii="Gill Sans" w:hAnsi="Gill Sans" w:cs="Gill Sans"/>
          <w:i/>
          <w:iCs/>
          <w:lang w:val="en-US"/>
        </w:rPr>
        <w:t>Consumer Beliefs About Health in Food Products</w:t>
      </w:r>
    </w:p>
    <w:tbl>
      <w:tblPr>
        <w:tblStyle w:val="Tablaconcuadrcula"/>
        <w:tblW w:w="0" w:type="auto"/>
        <w:tblLook w:val="04A0" w:firstRow="1" w:lastRow="0" w:firstColumn="1" w:lastColumn="0" w:noHBand="0" w:noVBand="1"/>
      </w:tblPr>
      <w:tblGrid>
        <w:gridCol w:w="2123"/>
        <w:gridCol w:w="2123"/>
        <w:gridCol w:w="2124"/>
        <w:gridCol w:w="2124"/>
      </w:tblGrid>
      <w:tr w:rsidR="00335146" w:rsidRPr="00F44B56" w14:paraId="5CAC2B49" w14:textId="77777777" w:rsidTr="000E7012">
        <w:tc>
          <w:tcPr>
            <w:tcW w:w="2123" w:type="dxa"/>
            <w:tcBorders>
              <w:top w:val="single" w:sz="4" w:space="0" w:color="auto"/>
              <w:left w:val="nil"/>
              <w:bottom w:val="single" w:sz="4" w:space="0" w:color="auto"/>
              <w:right w:val="nil"/>
            </w:tcBorders>
          </w:tcPr>
          <w:p w14:paraId="0873DF0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603F8520"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7FE3134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4568B31D"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RESULTADOS</w:t>
            </w:r>
          </w:p>
        </w:tc>
      </w:tr>
      <w:tr w:rsidR="00335146" w:rsidRPr="00F44B56" w14:paraId="57167078" w14:textId="77777777" w:rsidTr="000E7012">
        <w:trPr>
          <w:trHeight w:val="388"/>
        </w:trPr>
        <w:tc>
          <w:tcPr>
            <w:tcW w:w="2123" w:type="dxa"/>
            <w:vMerge w:val="restart"/>
            <w:tcBorders>
              <w:top w:val="single" w:sz="4" w:space="0" w:color="auto"/>
              <w:left w:val="nil"/>
              <w:bottom w:val="nil"/>
              <w:right w:val="nil"/>
            </w:tcBorders>
            <w:vAlign w:val="center"/>
          </w:tcPr>
          <w:p w14:paraId="540581DC"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Considero que los productos con etiquetas "orgánicas" son más saludables que las alternativas convencionales.</w:t>
            </w:r>
          </w:p>
        </w:tc>
        <w:tc>
          <w:tcPr>
            <w:tcW w:w="2123" w:type="dxa"/>
            <w:tcBorders>
              <w:top w:val="single" w:sz="4" w:space="0" w:color="auto"/>
              <w:left w:val="nil"/>
              <w:bottom w:val="single" w:sz="4" w:space="0" w:color="auto"/>
              <w:right w:val="nil"/>
            </w:tcBorders>
            <w:vAlign w:val="center"/>
          </w:tcPr>
          <w:p w14:paraId="7253B5CD"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1072745C"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11E69CB4"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r>
      <w:tr w:rsidR="00335146" w:rsidRPr="00F44B56" w14:paraId="4107960F" w14:textId="77777777" w:rsidTr="000E7012">
        <w:trPr>
          <w:trHeight w:val="421"/>
        </w:trPr>
        <w:tc>
          <w:tcPr>
            <w:tcW w:w="2123" w:type="dxa"/>
            <w:vMerge/>
            <w:tcBorders>
              <w:top w:val="nil"/>
              <w:left w:val="nil"/>
              <w:bottom w:val="nil"/>
              <w:right w:val="nil"/>
            </w:tcBorders>
            <w:vAlign w:val="center"/>
          </w:tcPr>
          <w:p w14:paraId="12E58596"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A4284BE"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34EB17C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39FD2F2D"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35.3%</w:t>
            </w:r>
          </w:p>
        </w:tc>
      </w:tr>
      <w:tr w:rsidR="00335146" w:rsidRPr="00F44B56" w14:paraId="7D26FCD3" w14:textId="77777777" w:rsidTr="000E7012">
        <w:tc>
          <w:tcPr>
            <w:tcW w:w="2123" w:type="dxa"/>
            <w:vMerge/>
            <w:tcBorders>
              <w:top w:val="nil"/>
              <w:left w:val="nil"/>
              <w:bottom w:val="single" w:sz="4" w:space="0" w:color="auto"/>
              <w:right w:val="nil"/>
            </w:tcBorders>
            <w:vAlign w:val="center"/>
          </w:tcPr>
          <w:p w14:paraId="5B148694"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D7BC06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4F90BA5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37</w:t>
            </w:r>
          </w:p>
        </w:tc>
        <w:tc>
          <w:tcPr>
            <w:tcW w:w="2124" w:type="dxa"/>
            <w:tcBorders>
              <w:top w:val="single" w:sz="4" w:space="0" w:color="auto"/>
              <w:left w:val="nil"/>
              <w:bottom w:val="single" w:sz="4" w:space="0" w:color="auto"/>
              <w:right w:val="nil"/>
            </w:tcBorders>
            <w:vAlign w:val="center"/>
          </w:tcPr>
          <w:p w14:paraId="7E4A22D3"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24.7%</w:t>
            </w:r>
          </w:p>
        </w:tc>
      </w:tr>
      <w:tr w:rsidR="00335146" w:rsidRPr="00F44B56" w14:paraId="198355FF" w14:textId="77777777" w:rsidTr="000E7012">
        <w:trPr>
          <w:trHeight w:val="420"/>
        </w:trPr>
        <w:tc>
          <w:tcPr>
            <w:tcW w:w="2123" w:type="dxa"/>
            <w:vMerge w:val="restart"/>
            <w:tcBorders>
              <w:top w:val="single" w:sz="4" w:space="0" w:color="auto"/>
              <w:left w:val="nil"/>
              <w:bottom w:val="nil"/>
              <w:right w:val="nil"/>
            </w:tcBorders>
            <w:vAlign w:val="center"/>
          </w:tcPr>
          <w:p w14:paraId="5BBE1460"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La presencia de una tabla de información nutricional influye significativamente en mi percepción de un producto como saludable.</w:t>
            </w:r>
          </w:p>
        </w:tc>
        <w:tc>
          <w:tcPr>
            <w:tcW w:w="2123" w:type="dxa"/>
            <w:tcBorders>
              <w:top w:val="single" w:sz="4" w:space="0" w:color="auto"/>
              <w:left w:val="nil"/>
              <w:bottom w:val="single" w:sz="4" w:space="0" w:color="auto"/>
              <w:right w:val="nil"/>
            </w:tcBorders>
            <w:vAlign w:val="center"/>
          </w:tcPr>
          <w:p w14:paraId="26208C1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49ABAA7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59B896F0"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r>
      <w:tr w:rsidR="00335146" w:rsidRPr="00F44B56" w14:paraId="34E070A8" w14:textId="77777777" w:rsidTr="000E7012">
        <w:trPr>
          <w:trHeight w:val="270"/>
        </w:trPr>
        <w:tc>
          <w:tcPr>
            <w:tcW w:w="2123" w:type="dxa"/>
            <w:vMerge/>
            <w:tcBorders>
              <w:top w:val="nil"/>
              <w:left w:val="nil"/>
              <w:bottom w:val="nil"/>
              <w:right w:val="nil"/>
            </w:tcBorders>
            <w:vAlign w:val="center"/>
          </w:tcPr>
          <w:p w14:paraId="5E86E530"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8133C33"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14F9619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51</w:t>
            </w:r>
          </w:p>
        </w:tc>
        <w:tc>
          <w:tcPr>
            <w:tcW w:w="2124" w:type="dxa"/>
            <w:tcBorders>
              <w:top w:val="single" w:sz="4" w:space="0" w:color="auto"/>
              <w:left w:val="nil"/>
              <w:bottom w:val="single" w:sz="4" w:space="0" w:color="auto"/>
              <w:right w:val="nil"/>
            </w:tcBorders>
            <w:vAlign w:val="center"/>
          </w:tcPr>
          <w:p w14:paraId="3E21E1CE"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34%</w:t>
            </w:r>
          </w:p>
        </w:tc>
      </w:tr>
      <w:tr w:rsidR="00335146" w:rsidRPr="00F44B56" w14:paraId="1D666F70" w14:textId="77777777" w:rsidTr="000E7012">
        <w:tc>
          <w:tcPr>
            <w:tcW w:w="2123" w:type="dxa"/>
            <w:vMerge/>
            <w:tcBorders>
              <w:top w:val="nil"/>
              <w:left w:val="nil"/>
              <w:bottom w:val="single" w:sz="4" w:space="0" w:color="auto"/>
              <w:right w:val="nil"/>
            </w:tcBorders>
          </w:tcPr>
          <w:p w14:paraId="214EA830"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6196F408"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771CB264"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34</w:t>
            </w:r>
          </w:p>
        </w:tc>
        <w:tc>
          <w:tcPr>
            <w:tcW w:w="2124" w:type="dxa"/>
            <w:tcBorders>
              <w:top w:val="single" w:sz="4" w:space="0" w:color="auto"/>
              <w:left w:val="nil"/>
              <w:bottom w:val="single" w:sz="4" w:space="0" w:color="auto"/>
              <w:right w:val="nil"/>
            </w:tcBorders>
            <w:vAlign w:val="center"/>
          </w:tcPr>
          <w:p w14:paraId="22F49E37"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22.7%</w:t>
            </w:r>
          </w:p>
        </w:tc>
      </w:tr>
      <w:tr w:rsidR="00335146" w:rsidRPr="00F44B56" w14:paraId="51F4E446" w14:textId="77777777" w:rsidTr="000E7012">
        <w:trPr>
          <w:trHeight w:val="266"/>
        </w:trPr>
        <w:tc>
          <w:tcPr>
            <w:tcW w:w="2123" w:type="dxa"/>
            <w:vMerge w:val="restart"/>
            <w:tcBorders>
              <w:top w:val="single" w:sz="4" w:space="0" w:color="auto"/>
              <w:left w:val="nil"/>
              <w:bottom w:val="nil"/>
              <w:right w:val="nil"/>
            </w:tcBorders>
            <w:vAlign w:val="center"/>
          </w:tcPr>
          <w:p w14:paraId="7DCDCBCA"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Asocio los productos con menos empaque con una mayor salud.</w:t>
            </w:r>
          </w:p>
        </w:tc>
        <w:tc>
          <w:tcPr>
            <w:tcW w:w="2123" w:type="dxa"/>
            <w:tcBorders>
              <w:top w:val="single" w:sz="4" w:space="0" w:color="auto"/>
              <w:left w:val="nil"/>
              <w:bottom w:val="single" w:sz="4" w:space="0" w:color="auto"/>
              <w:right w:val="nil"/>
            </w:tcBorders>
            <w:vAlign w:val="center"/>
          </w:tcPr>
          <w:p w14:paraId="5B0FF5B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0E5399D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3841DE2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r>
      <w:tr w:rsidR="00335146" w:rsidRPr="00F44B56" w14:paraId="6C5827B6" w14:textId="77777777" w:rsidTr="000E7012">
        <w:trPr>
          <w:trHeight w:val="284"/>
        </w:trPr>
        <w:tc>
          <w:tcPr>
            <w:tcW w:w="2123" w:type="dxa"/>
            <w:vMerge/>
            <w:tcBorders>
              <w:top w:val="nil"/>
              <w:left w:val="nil"/>
              <w:bottom w:val="nil"/>
              <w:right w:val="nil"/>
            </w:tcBorders>
            <w:vAlign w:val="center"/>
          </w:tcPr>
          <w:p w14:paraId="3AE6244D"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2A0B73C4"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1464FF3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019FD918"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31.3%</w:t>
            </w:r>
          </w:p>
        </w:tc>
      </w:tr>
      <w:tr w:rsidR="00335146" w:rsidRPr="00F44B56" w14:paraId="38AC142E" w14:textId="77777777" w:rsidTr="000E7012">
        <w:tc>
          <w:tcPr>
            <w:tcW w:w="2123" w:type="dxa"/>
            <w:vMerge/>
            <w:tcBorders>
              <w:top w:val="nil"/>
              <w:left w:val="nil"/>
              <w:bottom w:val="single" w:sz="4" w:space="0" w:color="auto"/>
              <w:right w:val="nil"/>
            </w:tcBorders>
          </w:tcPr>
          <w:p w14:paraId="0CF86197"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2FC48F1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22B1FF6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c>
          <w:tcPr>
            <w:tcW w:w="2124" w:type="dxa"/>
            <w:tcBorders>
              <w:top w:val="single" w:sz="4" w:space="0" w:color="auto"/>
              <w:left w:val="nil"/>
              <w:bottom w:val="single" w:sz="4" w:space="0" w:color="auto"/>
              <w:right w:val="nil"/>
            </w:tcBorders>
            <w:vAlign w:val="center"/>
          </w:tcPr>
          <w:p w14:paraId="21A100E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25.3%</w:t>
            </w:r>
          </w:p>
        </w:tc>
      </w:tr>
      <w:tr w:rsidR="00335146" w:rsidRPr="00F44B56" w14:paraId="49F3F4F2" w14:textId="77777777" w:rsidTr="000E7012">
        <w:trPr>
          <w:trHeight w:val="266"/>
        </w:trPr>
        <w:tc>
          <w:tcPr>
            <w:tcW w:w="2123" w:type="dxa"/>
            <w:vMerge w:val="restart"/>
            <w:tcBorders>
              <w:top w:val="single" w:sz="4" w:space="0" w:color="auto"/>
              <w:left w:val="nil"/>
              <w:bottom w:val="nil"/>
              <w:right w:val="nil"/>
            </w:tcBorders>
            <w:vAlign w:val="center"/>
          </w:tcPr>
          <w:p w14:paraId="3C8EEB06"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Creo que los productos etiquetados como "bajos en azúcar" son generalmente opciones más saludables.</w:t>
            </w:r>
          </w:p>
        </w:tc>
        <w:tc>
          <w:tcPr>
            <w:tcW w:w="2123" w:type="dxa"/>
            <w:tcBorders>
              <w:top w:val="single" w:sz="4" w:space="0" w:color="auto"/>
              <w:left w:val="nil"/>
              <w:bottom w:val="single" w:sz="4" w:space="0" w:color="auto"/>
              <w:right w:val="nil"/>
            </w:tcBorders>
            <w:vAlign w:val="center"/>
          </w:tcPr>
          <w:p w14:paraId="51DB1581"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5CD4C4E9"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699310AF"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r>
      <w:tr w:rsidR="00335146" w:rsidRPr="00F44B56" w14:paraId="18AC7E3F" w14:textId="77777777" w:rsidTr="000E7012">
        <w:trPr>
          <w:trHeight w:val="270"/>
        </w:trPr>
        <w:tc>
          <w:tcPr>
            <w:tcW w:w="2123" w:type="dxa"/>
            <w:vMerge/>
            <w:tcBorders>
              <w:top w:val="nil"/>
              <w:left w:val="nil"/>
              <w:bottom w:val="nil"/>
              <w:right w:val="nil"/>
            </w:tcBorders>
            <w:vAlign w:val="center"/>
          </w:tcPr>
          <w:p w14:paraId="2F08CCEB"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FAA2783"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3DBACC1E"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50</w:t>
            </w:r>
          </w:p>
        </w:tc>
        <w:tc>
          <w:tcPr>
            <w:tcW w:w="2124" w:type="dxa"/>
            <w:tcBorders>
              <w:top w:val="single" w:sz="4" w:space="0" w:color="auto"/>
              <w:left w:val="nil"/>
              <w:bottom w:val="single" w:sz="4" w:space="0" w:color="auto"/>
              <w:right w:val="nil"/>
            </w:tcBorders>
            <w:vAlign w:val="center"/>
          </w:tcPr>
          <w:p w14:paraId="42357A95"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33.3%</w:t>
            </w:r>
          </w:p>
        </w:tc>
      </w:tr>
      <w:tr w:rsidR="00335146" w:rsidRPr="00F44B56" w14:paraId="546B6A9F" w14:textId="77777777" w:rsidTr="000E7012">
        <w:tc>
          <w:tcPr>
            <w:tcW w:w="2123" w:type="dxa"/>
            <w:vMerge/>
            <w:tcBorders>
              <w:top w:val="nil"/>
              <w:left w:val="nil"/>
              <w:bottom w:val="single" w:sz="4" w:space="0" w:color="auto"/>
              <w:right w:val="nil"/>
            </w:tcBorders>
          </w:tcPr>
          <w:p w14:paraId="2C7401BE" w14:textId="77777777" w:rsidR="00335146" w:rsidRPr="00F44B56" w:rsidRDefault="00335146"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9739B1B"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631246C7"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38</w:t>
            </w:r>
          </w:p>
        </w:tc>
        <w:tc>
          <w:tcPr>
            <w:tcW w:w="2124" w:type="dxa"/>
            <w:tcBorders>
              <w:top w:val="single" w:sz="4" w:space="0" w:color="auto"/>
              <w:left w:val="nil"/>
              <w:bottom w:val="single" w:sz="4" w:space="0" w:color="auto"/>
              <w:right w:val="nil"/>
            </w:tcBorders>
            <w:vAlign w:val="center"/>
          </w:tcPr>
          <w:p w14:paraId="4F3236C1" w14:textId="77777777" w:rsidR="00335146" w:rsidRPr="00F44B56" w:rsidRDefault="00335146" w:rsidP="000E7012">
            <w:pPr>
              <w:rPr>
                <w:rFonts w:ascii="Gill Sans" w:hAnsi="Gill Sans" w:cs="Gill Sans"/>
                <w:sz w:val="18"/>
                <w:szCs w:val="18"/>
              </w:rPr>
            </w:pPr>
            <w:r w:rsidRPr="00F44B56">
              <w:rPr>
                <w:rFonts w:ascii="Gill Sans" w:hAnsi="Gill Sans" w:cs="Gill Sans" w:hint="cs"/>
                <w:sz w:val="18"/>
                <w:szCs w:val="18"/>
              </w:rPr>
              <w:t>25.3%</w:t>
            </w:r>
          </w:p>
        </w:tc>
      </w:tr>
    </w:tbl>
    <w:p w14:paraId="257B165A" w14:textId="77777777" w:rsidR="00335146" w:rsidRDefault="00335146" w:rsidP="00335146">
      <w:pPr>
        <w:jc w:val="both"/>
        <w:rPr>
          <w:rFonts w:ascii="Gill Sans" w:hAnsi="Gill Sans" w:cs="Gill Sans"/>
          <w:lang w:val="en-US"/>
        </w:rPr>
      </w:pPr>
    </w:p>
    <w:p w14:paraId="1C23591B" w14:textId="6FAEF1B1"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on consumer perceptions of health in products.</w:t>
      </w:r>
    </w:p>
    <w:p w14:paraId="131E17F5"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Table 2 examines consumers’ perceptions and beliefs regarding the health benefits of food products associated with different product characteristics. Based on this set of questions, it was found that young people’s beliefs regarding the health benefits of food products are strongly influenced by labels that provide detailed nutritional information—specifically, which nutrients are present and in what quantities—as well as by the product’s packaging, including its color, design, and materials, and the products’ caloric content, since people who are mindful of their diet seek to reduce calorie intake; therefore, knowing a product’s caloric content greatly aids them in choosing and consuming it. These perceptions are key factors that drive the preference for healthy products.</w:t>
      </w:r>
    </w:p>
    <w:p w14:paraId="0489DFDC" w14:textId="77777777" w:rsidR="00335146" w:rsidRPr="0039059E" w:rsidRDefault="00335146" w:rsidP="00335146">
      <w:pPr>
        <w:jc w:val="both"/>
        <w:rPr>
          <w:rFonts w:ascii="Gill Sans" w:hAnsi="Gill Sans" w:cs="Gill Sans"/>
          <w:b/>
          <w:bCs/>
          <w:lang w:val="en-US"/>
        </w:rPr>
      </w:pPr>
      <w:r w:rsidRPr="0039059E">
        <w:rPr>
          <w:rFonts w:ascii="Gill Sans" w:hAnsi="Gill Sans" w:cs="Gill Sans"/>
          <w:b/>
          <w:bCs/>
          <w:lang w:val="en-US"/>
        </w:rPr>
        <w:t>Table 3</w:t>
      </w:r>
    </w:p>
    <w:p w14:paraId="385DA3D5"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Influence of Product Characteristics on Consumer Perceptions of Health</w:t>
      </w:r>
    </w:p>
    <w:tbl>
      <w:tblPr>
        <w:tblStyle w:val="Tablaconcuadrcula"/>
        <w:tblW w:w="0" w:type="auto"/>
        <w:tblLook w:val="04A0" w:firstRow="1" w:lastRow="0" w:firstColumn="1" w:lastColumn="0" w:noHBand="0" w:noVBand="1"/>
      </w:tblPr>
      <w:tblGrid>
        <w:gridCol w:w="2123"/>
        <w:gridCol w:w="2123"/>
        <w:gridCol w:w="2124"/>
        <w:gridCol w:w="2124"/>
      </w:tblGrid>
      <w:tr w:rsidR="0039059E" w:rsidRPr="00F44B56" w14:paraId="0C295650" w14:textId="77777777" w:rsidTr="000E7012">
        <w:tc>
          <w:tcPr>
            <w:tcW w:w="2123" w:type="dxa"/>
            <w:tcBorders>
              <w:top w:val="single" w:sz="4" w:space="0" w:color="auto"/>
              <w:left w:val="nil"/>
              <w:bottom w:val="single" w:sz="4" w:space="0" w:color="auto"/>
              <w:right w:val="nil"/>
            </w:tcBorders>
          </w:tcPr>
          <w:p w14:paraId="2679789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1D13E84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1FC3118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1984868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RESULTADOS</w:t>
            </w:r>
          </w:p>
        </w:tc>
      </w:tr>
      <w:tr w:rsidR="0039059E" w:rsidRPr="00F44B56" w14:paraId="57EEA4CC" w14:textId="77777777" w:rsidTr="000E7012">
        <w:trPr>
          <w:trHeight w:val="268"/>
        </w:trPr>
        <w:tc>
          <w:tcPr>
            <w:tcW w:w="2123" w:type="dxa"/>
            <w:vMerge w:val="restart"/>
            <w:tcBorders>
              <w:top w:val="single" w:sz="4" w:space="0" w:color="auto"/>
              <w:left w:val="nil"/>
              <w:bottom w:val="nil"/>
              <w:right w:val="nil"/>
            </w:tcBorders>
            <w:vAlign w:val="center"/>
          </w:tcPr>
          <w:p w14:paraId="28E1052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La presencia de conservantes artificiales en un producto me hace percibirlo como menos saludable.</w:t>
            </w:r>
          </w:p>
        </w:tc>
        <w:tc>
          <w:tcPr>
            <w:tcW w:w="2123" w:type="dxa"/>
            <w:tcBorders>
              <w:top w:val="single" w:sz="4" w:space="0" w:color="auto"/>
              <w:left w:val="nil"/>
              <w:bottom w:val="single" w:sz="4" w:space="0" w:color="auto"/>
              <w:right w:val="nil"/>
            </w:tcBorders>
            <w:vAlign w:val="center"/>
          </w:tcPr>
          <w:p w14:paraId="5B900EB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092A43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51</w:t>
            </w:r>
          </w:p>
        </w:tc>
        <w:tc>
          <w:tcPr>
            <w:tcW w:w="2124" w:type="dxa"/>
            <w:tcBorders>
              <w:top w:val="single" w:sz="4" w:space="0" w:color="auto"/>
              <w:left w:val="nil"/>
              <w:bottom w:val="single" w:sz="4" w:space="0" w:color="auto"/>
              <w:right w:val="nil"/>
            </w:tcBorders>
            <w:vAlign w:val="center"/>
          </w:tcPr>
          <w:p w14:paraId="54B2518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w:t>
            </w:r>
          </w:p>
        </w:tc>
      </w:tr>
      <w:tr w:rsidR="0039059E" w:rsidRPr="00F44B56" w14:paraId="4E945F86" w14:textId="77777777" w:rsidTr="000E7012">
        <w:trPr>
          <w:trHeight w:val="342"/>
        </w:trPr>
        <w:tc>
          <w:tcPr>
            <w:tcW w:w="2123" w:type="dxa"/>
            <w:vMerge/>
            <w:tcBorders>
              <w:top w:val="nil"/>
              <w:left w:val="nil"/>
              <w:bottom w:val="nil"/>
              <w:right w:val="nil"/>
            </w:tcBorders>
            <w:vAlign w:val="center"/>
          </w:tcPr>
          <w:p w14:paraId="79351081"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3C7225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097E539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46</w:t>
            </w:r>
          </w:p>
        </w:tc>
        <w:tc>
          <w:tcPr>
            <w:tcW w:w="2124" w:type="dxa"/>
            <w:tcBorders>
              <w:top w:val="single" w:sz="4" w:space="0" w:color="auto"/>
              <w:left w:val="nil"/>
              <w:bottom w:val="single" w:sz="4" w:space="0" w:color="auto"/>
              <w:right w:val="nil"/>
            </w:tcBorders>
            <w:vAlign w:val="center"/>
          </w:tcPr>
          <w:p w14:paraId="4E59300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30.7%</w:t>
            </w:r>
          </w:p>
        </w:tc>
      </w:tr>
      <w:tr w:rsidR="0039059E" w:rsidRPr="00F44B56" w14:paraId="2577C852" w14:textId="77777777" w:rsidTr="000E7012">
        <w:tc>
          <w:tcPr>
            <w:tcW w:w="2123" w:type="dxa"/>
            <w:vMerge/>
            <w:tcBorders>
              <w:top w:val="nil"/>
              <w:left w:val="nil"/>
              <w:bottom w:val="single" w:sz="4" w:space="0" w:color="auto"/>
              <w:right w:val="nil"/>
            </w:tcBorders>
            <w:vAlign w:val="center"/>
          </w:tcPr>
          <w:p w14:paraId="2D216F7F"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6BF307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1FB3B44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4C16E5B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r w:rsidR="0039059E" w:rsidRPr="00F44B56" w14:paraId="6C2229C7" w14:textId="77777777" w:rsidTr="000E7012">
        <w:tc>
          <w:tcPr>
            <w:tcW w:w="2123" w:type="dxa"/>
            <w:vMerge w:val="restart"/>
            <w:tcBorders>
              <w:top w:val="single" w:sz="4" w:space="0" w:color="auto"/>
              <w:left w:val="nil"/>
              <w:bottom w:val="nil"/>
              <w:right w:val="nil"/>
            </w:tcBorders>
            <w:vAlign w:val="center"/>
          </w:tcPr>
          <w:p w14:paraId="7F4CAAA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Asocio los colores brillantes y naturales en los envases con productos más saludables.</w:t>
            </w:r>
          </w:p>
        </w:tc>
        <w:tc>
          <w:tcPr>
            <w:tcW w:w="2123" w:type="dxa"/>
            <w:tcBorders>
              <w:top w:val="single" w:sz="4" w:space="0" w:color="auto"/>
              <w:left w:val="nil"/>
              <w:bottom w:val="single" w:sz="4" w:space="0" w:color="auto"/>
              <w:right w:val="nil"/>
            </w:tcBorders>
            <w:vAlign w:val="center"/>
          </w:tcPr>
          <w:p w14:paraId="3B3BEA1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048F4B6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55</w:t>
            </w:r>
          </w:p>
        </w:tc>
        <w:tc>
          <w:tcPr>
            <w:tcW w:w="2124" w:type="dxa"/>
            <w:tcBorders>
              <w:top w:val="single" w:sz="4" w:space="0" w:color="auto"/>
              <w:left w:val="nil"/>
              <w:bottom w:val="single" w:sz="4" w:space="0" w:color="auto"/>
              <w:right w:val="nil"/>
            </w:tcBorders>
            <w:vAlign w:val="center"/>
          </w:tcPr>
          <w:p w14:paraId="084C248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36.7%</w:t>
            </w:r>
          </w:p>
        </w:tc>
      </w:tr>
      <w:tr w:rsidR="0039059E" w:rsidRPr="00F44B56" w14:paraId="0DAF5301" w14:textId="77777777" w:rsidTr="000E7012">
        <w:tc>
          <w:tcPr>
            <w:tcW w:w="2123" w:type="dxa"/>
            <w:vMerge/>
            <w:tcBorders>
              <w:top w:val="nil"/>
              <w:left w:val="nil"/>
              <w:bottom w:val="nil"/>
              <w:right w:val="nil"/>
            </w:tcBorders>
            <w:vAlign w:val="center"/>
          </w:tcPr>
          <w:p w14:paraId="75A9B638"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AC0770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14A25A8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48</w:t>
            </w:r>
          </w:p>
        </w:tc>
        <w:tc>
          <w:tcPr>
            <w:tcW w:w="2124" w:type="dxa"/>
            <w:tcBorders>
              <w:top w:val="single" w:sz="4" w:space="0" w:color="auto"/>
              <w:left w:val="nil"/>
              <w:bottom w:val="single" w:sz="4" w:space="0" w:color="auto"/>
              <w:right w:val="nil"/>
            </w:tcBorders>
            <w:vAlign w:val="center"/>
          </w:tcPr>
          <w:p w14:paraId="3377958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32%</w:t>
            </w:r>
          </w:p>
        </w:tc>
      </w:tr>
      <w:tr w:rsidR="0039059E" w:rsidRPr="00F44B56" w14:paraId="191C6E88" w14:textId="77777777" w:rsidTr="000E7012">
        <w:tc>
          <w:tcPr>
            <w:tcW w:w="2123" w:type="dxa"/>
            <w:vMerge/>
            <w:tcBorders>
              <w:top w:val="nil"/>
              <w:left w:val="nil"/>
              <w:bottom w:val="single" w:sz="4" w:space="0" w:color="auto"/>
              <w:right w:val="nil"/>
            </w:tcBorders>
          </w:tcPr>
          <w:p w14:paraId="1A0FF860"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1B8386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358330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41</w:t>
            </w:r>
          </w:p>
        </w:tc>
        <w:tc>
          <w:tcPr>
            <w:tcW w:w="2124" w:type="dxa"/>
            <w:tcBorders>
              <w:top w:val="single" w:sz="4" w:space="0" w:color="auto"/>
              <w:left w:val="nil"/>
              <w:bottom w:val="single" w:sz="4" w:space="0" w:color="auto"/>
              <w:right w:val="nil"/>
            </w:tcBorders>
            <w:vAlign w:val="center"/>
          </w:tcPr>
          <w:p w14:paraId="29AAD0E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27.3%</w:t>
            </w:r>
          </w:p>
        </w:tc>
      </w:tr>
      <w:tr w:rsidR="0039059E" w:rsidRPr="00F44B56" w14:paraId="1DE623F0" w14:textId="77777777" w:rsidTr="000E7012">
        <w:tc>
          <w:tcPr>
            <w:tcW w:w="2123" w:type="dxa"/>
            <w:vMerge w:val="restart"/>
            <w:tcBorders>
              <w:top w:val="single" w:sz="4" w:space="0" w:color="auto"/>
              <w:left w:val="nil"/>
              <w:bottom w:val="nil"/>
              <w:right w:val="nil"/>
            </w:tcBorders>
            <w:vAlign w:val="center"/>
          </w:tcPr>
          <w:p w14:paraId="72C9179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Considero que los productos de origen local son más saludables que las alternativas importadas.</w:t>
            </w:r>
          </w:p>
        </w:tc>
        <w:tc>
          <w:tcPr>
            <w:tcW w:w="2123" w:type="dxa"/>
            <w:tcBorders>
              <w:top w:val="single" w:sz="4" w:space="0" w:color="auto"/>
              <w:left w:val="nil"/>
              <w:bottom w:val="single" w:sz="4" w:space="0" w:color="auto"/>
              <w:right w:val="nil"/>
            </w:tcBorders>
            <w:vAlign w:val="center"/>
          </w:tcPr>
          <w:p w14:paraId="279BFBC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61743B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62</w:t>
            </w:r>
          </w:p>
        </w:tc>
        <w:tc>
          <w:tcPr>
            <w:tcW w:w="2124" w:type="dxa"/>
            <w:tcBorders>
              <w:top w:val="single" w:sz="4" w:space="0" w:color="auto"/>
              <w:left w:val="nil"/>
              <w:bottom w:val="single" w:sz="4" w:space="0" w:color="auto"/>
              <w:right w:val="nil"/>
            </w:tcBorders>
            <w:vAlign w:val="center"/>
          </w:tcPr>
          <w:p w14:paraId="658E447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41.3%</w:t>
            </w:r>
          </w:p>
        </w:tc>
      </w:tr>
      <w:tr w:rsidR="0039059E" w:rsidRPr="00F44B56" w14:paraId="5BEA9DD9" w14:textId="77777777" w:rsidTr="000E7012">
        <w:tc>
          <w:tcPr>
            <w:tcW w:w="2123" w:type="dxa"/>
            <w:vMerge/>
            <w:tcBorders>
              <w:top w:val="nil"/>
              <w:left w:val="nil"/>
              <w:bottom w:val="nil"/>
              <w:right w:val="nil"/>
            </w:tcBorders>
            <w:vAlign w:val="center"/>
          </w:tcPr>
          <w:p w14:paraId="20FD6E54"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57E529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4A32A4D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13EBE63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r w:rsidR="0039059E" w:rsidRPr="00F44B56" w14:paraId="33BBF107" w14:textId="77777777" w:rsidTr="000E7012">
        <w:tc>
          <w:tcPr>
            <w:tcW w:w="2123" w:type="dxa"/>
            <w:vMerge/>
            <w:tcBorders>
              <w:top w:val="nil"/>
              <w:left w:val="nil"/>
              <w:bottom w:val="single" w:sz="4" w:space="0" w:color="auto"/>
              <w:right w:val="nil"/>
            </w:tcBorders>
          </w:tcPr>
          <w:p w14:paraId="52B66293"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9F08BF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5C35CE5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39</w:t>
            </w:r>
          </w:p>
        </w:tc>
        <w:tc>
          <w:tcPr>
            <w:tcW w:w="2124" w:type="dxa"/>
            <w:tcBorders>
              <w:top w:val="single" w:sz="4" w:space="0" w:color="auto"/>
              <w:left w:val="nil"/>
              <w:bottom w:val="single" w:sz="4" w:space="0" w:color="auto"/>
              <w:right w:val="nil"/>
            </w:tcBorders>
            <w:vAlign w:val="center"/>
          </w:tcPr>
          <w:p w14:paraId="173A542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26%</w:t>
            </w:r>
          </w:p>
        </w:tc>
      </w:tr>
      <w:tr w:rsidR="0039059E" w:rsidRPr="00F44B56" w14:paraId="59BEC355" w14:textId="77777777" w:rsidTr="000E7012">
        <w:tc>
          <w:tcPr>
            <w:tcW w:w="2123" w:type="dxa"/>
            <w:vMerge w:val="restart"/>
            <w:tcBorders>
              <w:top w:val="single" w:sz="4" w:space="0" w:color="auto"/>
              <w:left w:val="nil"/>
              <w:bottom w:val="nil"/>
              <w:right w:val="nil"/>
            </w:tcBorders>
            <w:vAlign w:val="center"/>
          </w:tcPr>
          <w:p w14:paraId="4C1A799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Asocio los productos que enfatizan su origen vegetal con opciones más saludables. </w:t>
            </w:r>
          </w:p>
        </w:tc>
        <w:tc>
          <w:tcPr>
            <w:tcW w:w="2123" w:type="dxa"/>
            <w:tcBorders>
              <w:top w:val="single" w:sz="4" w:space="0" w:color="auto"/>
              <w:left w:val="nil"/>
              <w:bottom w:val="single" w:sz="4" w:space="0" w:color="auto"/>
              <w:right w:val="nil"/>
            </w:tcBorders>
            <w:vAlign w:val="center"/>
          </w:tcPr>
          <w:p w14:paraId="2EB7DD8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5EBAD3B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54</w:t>
            </w:r>
          </w:p>
        </w:tc>
        <w:tc>
          <w:tcPr>
            <w:tcW w:w="2124" w:type="dxa"/>
            <w:tcBorders>
              <w:top w:val="single" w:sz="4" w:space="0" w:color="auto"/>
              <w:left w:val="nil"/>
              <w:bottom w:val="single" w:sz="4" w:space="0" w:color="auto"/>
              <w:right w:val="nil"/>
            </w:tcBorders>
            <w:vAlign w:val="center"/>
          </w:tcPr>
          <w:p w14:paraId="405A0D5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w:t>
            </w:r>
          </w:p>
        </w:tc>
      </w:tr>
      <w:tr w:rsidR="0039059E" w:rsidRPr="00F44B56" w14:paraId="7C8426FC" w14:textId="77777777" w:rsidTr="000E7012">
        <w:tc>
          <w:tcPr>
            <w:tcW w:w="2123" w:type="dxa"/>
            <w:vMerge/>
            <w:tcBorders>
              <w:top w:val="nil"/>
              <w:left w:val="nil"/>
              <w:bottom w:val="nil"/>
              <w:right w:val="nil"/>
            </w:tcBorders>
            <w:vAlign w:val="center"/>
          </w:tcPr>
          <w:p w14:paraId="06586FF8"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9CC39A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7ACBF30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7D38864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31.3%</w:t>
            </w:r>
          </w:p>
        </w:tc>
      </w:tr>
      <w:tr w:rsidR="0039059E" w:rsidRPr="00F44B56" w14:paraId="6D4EAF3E" w14:textId="77777777" w:rsidTr="000E7012">
        <w:tc>
          <w:tcPr>
            <w:tcW w:w="2123" w:type="dxa"/>
            <w:vMerge/>
            <w:tcBorders>
              <w:top w:val="nil"/>
              <w:left w:val="nil"/>
              <w:bottom w:val="single" w:sz="4" w:space="0" w:color="auto"/>
              <w:right w:val="nil"/>
            </w:tcBorders>
          </w:tcPr>
          <w:p w14:paraId="74D87F9D"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0A4A3C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372C830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43</w:t>
            </w:r>
          </w:p>
        </w:tc>
        <w:tc>
          <w:tcPr>
            <w:tcW w:w="2124" w:type="dxa"/>
            <w:tcBorders>
              <w:top w:val="single" w:sz="4" w:space="0" w:color="auto"/>
              <w:left w:val="nil"/>
              <w:bottom w:val="single" w:sz="4" w:space="0" w:color="auto"/>
              <w:right w:val="nil"/>
            </w:tcBorders>
            <w:vAlign w:val="center"/>
          </w:tcPr>
          <w:p w14:paraId="41AB8D0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28.7%</w:t>
            </w:r>
          </w:p>
        </w:tc>
      </w:tr>
    </w:tbl>
    <w:p w14:paraId="3C8191C2" w14:textId="77777777" w:rsidR="0039059E" w:rsidRDefault="0039059E" w:rsidP="00335146">
      <w:pPr>
        <w:jc w:val="both"/>
        <w:rPr>
          <w:rFonts w:ascii="Gill Sans" w:hAnsi="Gill Sans" w:cs="Gill Sans"/>
          <w:lang w:val="en-US"/>
        </w:rPr>
      </w:pPr>
    </w:p>
    <w:p w14:paraId="20757661" w14:textId="373D0F52"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on how product characteristics influence health.</w:t>
      </w:r>
    </w:p>
    <w:p w14:paraId="2CD36266" w14:textId="77777777" w:rsidR="0039059E" w:rsidRDefault="0039059E" w:rsidP="00335146">
      <w:pPr>
        <w:jc w:val="both"/>
        <w:rPr>
          <w:rFonts w:ascii="Gill Sans" w:hAnsi="Gill Sans" w:cs="Gill Sans"/>
          <w:lang w:val="en-US"/>
        </w:rPr>
      </w:pPr>
    </w:p>
    <w:p w14:paraId="554B2700" w14:textId="15B0705D" w:rsidR="00335146" w:rsidRPr="00335146" w:rsidRDefault="00335146" w:rsidP="00335146">
      <w:pPr>
        <w:jc w:val="both"/>
        <w:rPr>
          <w:rFonts w:ascii="Gill Sans" w:hAnsi="Gill Sans" w:cs="Gill Sans"/>
          <w:lang w:val="en-US"/>
        </w:rPr>
      </w:pPr>
      <w:r w:rsidRPr="00335146">
        <w:rPr>
          <w:rFonts w:ascii="Gill Sans" w:hAnsi="Gill Sans" w:cs="Gill Sans"/>
          <w:lang w:val="en-US"/>
        </w:rPr>
        <w:t xml:space="preserve">Table 3 analyzes in greater detail how specific characteristics—beyond general labels—influence consumers’ perception of a product’s health benefits. It shows that both intrinsic characteristics, such as the absence of preservatives, and extrinsic ones, such as </w:t>
      </w:r>
      <w:r w:rsidRPr="00335146">
        <w:rPr>
          <w:rFonts w:ascii="Gill Sans" w:hAnsi="Gill Sans" w:cs="Gill Sans"/>
          <w:lang w:val="en-US"/>
        </w:rPr>
        <w:lastRenderedPageBreak/>
        <w:t>packaging design, local origin, and the fact that it is a plant-based product, play a fundamental role in this perception. These factors significantly affect how young people value the product, leading them to consider it a healthier option. Thus, it is not only general labels that are decisive, but also the specific attributes the product possesses. Consequently, the combination of these elements helps consumers form a more positive and trustworthy image of the product. This highlights the importance of paying attention to both content and presentation to influence purchasing decisions. Thus, the perception of health is built on multiple aspects that go beyond the superficial.</w:t>
      </w:r>
    </w:p>
    <w:p w14:paraId="3F241AF1" w14:textId="77777777" w:rsidR="00335146" w:rsidRPr="0039059E" w:rsidRDefault="00335146" w:rsidP="00335146">
      <w:pPr>
        <w:jc w:val="both"/>
        <w:rPr>
          <w:rFonts w:ascii="Gill Sans" w:hAnsi="Gill Sans" w:cs="Gill Sans"/>
          <w:b/>
          <w:bCs/>
          <w:lang w:val="en-US"/>
        </w:rPr>
      </w:pPr>
      <w:r w:rsidRPr="0039059E">
        <w:rPr>
          <w:rFonts w:ascii="Gill Sans" w:hAnsi="Gill Sans" w:cs="Gill Sans"/>
          <w:b/>
          <w:bCs/>
          <w:lang w:val="en-US"/>
        </w:rPr>
        <w:t>Table 4</w:t>
      </w:r>
    </w:p>
    <w:p w14:paraId="672A77A0"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Determinants of Willingness to Pay More for Healthy Products</w:t>
      </w:r>
    </w:p>
    <w:tbl>
      <w:tblPr>
        <w:tblStyle w:val="Tablaconcuadrcula"/>
        <w:tblW w:w="0" w:type="auto"/>
        <w:tblLook w:val="04A0" w:firstRow="1" w:lastRow="0" w:firstColumn="1" w:lastColumn="0" w:noHBand="0" w:noVBand="1"/>
      </w:tblPr>
      <w:tblGrid>
        <w:gridCol w:w="2123"/>
        <w:gridCol w:w="2123"/>
        <w:gridCol w:w="2124"/>
        <w:gridCol w:w="2124"/>
      </w:tblGrid>
      <w:tr w:rsidR="0039059E" w:rsidRPr="00F44B56" w14:paraId="5A437CA2" w14:textId="77777777" w:rsidTr="000E7012">
        <w:tc>
          <w:tcPr>
            <w:tcW w:w="2123" w:type="dxa"/>
            <w:tcBorders>
              <w:top w:val="single" w:sz="4" w:space="0" w:color="auto"/>
              <w:left w:val="nil"/>
              <w:bottom w:val="single" w:sz="4" w:space="0" w:color="auto"/>
              <w:right w:val="nil"/>
            </w:tcBorders>
          </w:tcPr>
          <w:p w14:paraId="5D8BF6E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5D8D169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08A8DB6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50F4CC0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RESULTADOS</w:t>
            </w:r>
          </w:p>
        </w:tc>
      </w:tr>
      <w:tr w:rsidR="0039059E" w:rsidRPr="00F44B56" w14:paraId="0FA59DBD" w14:textId="77777777" w:rsidTr="000E7012">
        <w:tc>
          <w:tcPr>
            <w:tcW w:w="2123" w:type="dxa"/>
            <w:vMerge w:val="restart"/>
            <w:tcBorders>
              <w:top w:val="single" w:sz="4" w:space="0" w:color="auto"/>
              <w:left w:val="nil"/>
              <w:bottom w:val="nil"/>
              <w:right w:val="nil"/>
            </w:tcBorders>
            <w:vAlign w:val="center"/>
          </w:tcPr>
          <w:p w14:paraId="6A11421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Estoy dispuesto a pagar más por productos que creo que tendrán un impacto positivo en mi salud.</w:t>
            </w:r>
          </w:p>
        </w:tc>
        <w:tc>
          <w:tcPr>
            <w:tcW w:w="2123" w:type="dxa"/>
            <w:tcBorders>
              <w:top w:val="single" w:sz="4" w:space="0" w:color="auto"/>
              <w:left w:val="nil"/>
              <w:bottom w:val="single" w:sz="4" w:space="0" w:color="auto"/>
              <w:right w:val="nil"/>
            </w:tcBorders>
            <w:vAlign w:val="center"/>
          </w:tcPr>
          <w:p w14:paraId="33226EF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4B089D9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66</w:t>
            </w:r>
          </w:p>
        </w:tc>
        <w:tc>
          <w:tcPr>
            <w:tcW w:w="2124" w:type="dxa"/>
            <w:tcBorders>
              <w:top w:val="single" w:sz="4" w:space="0" w:color="auto"/>
              <w:left w:val="nil"/>
              <w:bottom w:val="single" w:sz="4" w:space="0" w:color="auto"/>
              <w:right w:val="nil"/>
            </w:tcBorders>
            <w:vAlign w:val="center"/>
          </w:tcPr>
          <w:p w14:paraId="2491FD0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44%</w:t>
            </w:r>
          </w:p>
        </w:tc>
      </w:tr>
      <w:tr w:rsidR="0039059E" w:rsidRPr="00F44B56" w14:paraId="13F3AF12" w14:textId="77777777" w:rsidTr="000E7012">
        <w:tc>
          <w:tcPr>
            <w:tcW w:w="2123" w:type="dxa"/>
            <w:vMerge/>
            <w:tcBorders>
              <w:top w:val="nil"/>
              <w:left w:val="nil"/>
              <w:bottom w:val="nil"/>
              <w:right w:val="nil"/>
            </w:tcBorders>
            <w:vAlign w:val="center"/>
          </w:tcPr>
          <w:p w14:paraId="5FA1101C"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0F3E1B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6726A6E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51</w:t>
            </w:r>
          </w:p>
        </w:tc>
        <w:tc>
          <w:tcPr>
            <w:tcW w:w="2124" w:type="dxa"/>
            <w:tcBorders>
              <w:top w:val="single" w:sz="4" w:space="0" w:color="auto"/>
              <w:left w:val="nil"/>
              <w:bottom w:val="single" w:sz="4" w:space="0" w:color="auto"/>
              <w:right w:val="nil"/>
            </w:tcBorders>
            <w:vAlign w:val="center"/>
          </w:tcPr>
          <w:p w14:paraId="50DEF1E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w:t>
            </w:r>
          </w:p>
        </w:tc>
      </w:tr>
      <w:tr w:rsidR="0039059E" w:rsidRPr="00F44B56" w14:paraId="1EA9E2F3" w14:textId="77777777" w:rsidTr="000E7012">
        <w:tc>
          <w:tcPr>
            <w:tcW w:w="2123" w:type="dxa"/>
            <w:vMerge/>
            <w:tcBorders>
              <w:top w:val="nil"/>
              <w:left w:val="nil"/>
              <w:bottom w:val="single" w:sz="4" w:space="0" w:color="auto"/>
              <w:right w:val="nil"/>
            </w:tcBorders>
            <w:vAlign w:val="center"/>
          </w:tcPr>
          <w:p w14:paraId="06901232"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6016B4A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621E004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29</w:t>
            </w:r>
          </w:p>
        </w:tc>
        <w:tc>
          <w:tcPr>
            <w:tcW w:w="2124" w:type="dxa"/>
            <w:tcBorders>
              <w:top w:val="single" w:sz="4" w:space="0" w:color="auto"/>
              <w:left w:val="nil"/>
              <w:bottom w:val="single" w:sz="4" w:space="0" w:color="auto"/>
              <w:right w:val="nil"/>
            </w:tcBorders>
            <w:vAlign w:val="center"/>
          </w:tcPr>
          <w:p w14:paraId="33FD7CC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19.3%</w:t>
            </w:r>
          </w:p>
        </w:tc>
      </w:tr>
      <w:tr w:rsidR="0039059E" w:rsidRPr="00F44B56" w14:paraId="37341542" w14:textId="77777777" w:rsidTr="000E7012">
        <w:tc>
          <w:tcPr>
            <w:tcW w:w="2123" w:type="dxa"/>
            <w:vMerge w:val="restart"/>
            <w:tcBorders>
              <w:top w:val="single" w:sz="4" w:space="0" w:color="auto"/>
              <w:left w:val="nil"/>
              <w:bottom w:val="nil"/>
              <w:right w:val="nil"/>
            </w:tcBorders>
            <w:vAlign w:val="center"/>
          </w:tcPr>
          <w:p w14:paraId="76743E4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Mis conocimientos de nutrición influyen en cuánto más estoy dispuesto a pagar por opciones más saludables.</w:t>
            </w:r>
          </w:p>
        </w:tc>
        <w:tc>
          <w:tcPr>
            <w:tcW w:w="2123" w:type="dxa"/>
            <w:tcBorders>
              <w:top w:val="single" w:sz="4" w:space="0" w:color="auto"/>
              <w:left w:val="nil"/>
              <w:bottom w:val="single" w:sz="4" w:space="0" w:color="auto"/>
              <w:right w:val="nil"/>
            </w:tcBorders>
            <w:vAlign w:val="center"/>
          </w:tcPr>
          <w:p w14:paraId="6485CD8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7C2ACCF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64</w:t>
            </w:r>
          </w:p>
        </w:tc>
        <w:tc>
          <w:tcPr>
            <w:tcW w:w="2124" w:type="dxa"/>
            <w:tcBorders>
              <w:top w:val="single" w:sz="4" w:space="0" w:color="auto"/>
              <w:left w:val="nil"/>
              <w:bottom w:val="single" w:sz="4" w:space="0" w:color="auto"/>
              <w:right w:val="nil"/>
            </w:tcBorders>
            <w:vAlign w:val="center"/>
          </w:tcPr>
          <w:p w14:paraId="11063BE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42.7%</w:t>
            </w:r>
          </w:p>
        </w:tc>
      </w:tr>
      <w:tr w:rsidR="0039059E" w:rsidRPr="00F44B56" w14:paraId="2FC55034" w14:textId="77777777" w:rsidTr="000E7012">
        <w:tc>
          <w:tcPr>
            <w:tcW w:w="2123" w:type="dxa"/>
            <w:vMerge/>
            <w:tcBorders>
              <w:top w:val="nil"/>
              <w:left w:val="nil"/>
              <w:bottom w:val="nil"/>
              <w:right w:val="nil"/>
            </w:tcBorders>
            <w:vAlign w:val="center"/>
          </w:tcPr>
          <w:p w14:paraId="64205BBE"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86C6EE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02E7567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50</w:t>
            </w:r>
          </w:p>
        </w:tc>
        <w:tc>
          <w:tcPr>
            <w:tcW w:w="2124" w:type="dxa"/>
            <w:tcBorders>
              <w:top w:val="single" w:sz="4" w:space="0" w:color="auto"/>
              <w:left w:val="nil"/>
              <w:bottom w:val="single" w:sz="4" w:space="0" w:color="auto"/>
              <w:right w:val="nil"/>
            </w:tcBorders>
            <w:vAlign w:val="center"/>
          </w:tcPr>
          <w:p w14:paraId="7FEC855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33.3%</w:t>
            </w:r>
          </w:p>
        </w:tc>
      </w:tr>
      <w:tr w:rsidR="0039059E" w:rsidRPr="00F44B56" w14:paraId="31016826" w14:textId="77777777" w:rsidTr="000E7012">
        <w:tc>
          <w:tcPr>
            <w:tcW w:w="2123" w:type="dxa"/>
            <w:vMerge/>
            <w:tcBorders>
              <w:top w:val="nil"/>
              <w:left w:val="nil"/>
              <w:bottom w:val="single" w:sz="4" w:space="0" w:color="auto"/>
              <w:right w:val="nil"/>
            </w:tcBorders>
          </w:tcPr>
          <w:p w14:paraId="3FA29842"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5BB7ECB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3A02543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w:t>
            </w:r>
          </w:p>
        </w:tc>
        <w:tc>
          <w:tcPr>
            <w:tcW w:w="2124" w:type="dxa"/>
            <w:tcBorders>
              <w:top w:val="single" w:sz="4" w:space="0" w:color="auto"/>
              <w:left w:val="nil"/>
              <w:bottom w:val="single" w:sz="4" w:space="0" w:color="auto"/>
              <w:right w:val="nil"/>
            </w:tcBorders>
            <w:vAlign w:val="center"/>
          </w:tcPr>
          <w:p w14:paraId="0666CE3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22.7%</w:t>
            </w:r>
          </w:p>
        </w:tc>
      </w:tr>
      <w:tr w:rsidR="0039059E" w:rsidRPr="00F44B56" w14:paraId="14E51755" w14:textId="77777777" w:rsidTr="000E7012">
        <w:tc>
          <w:tcPr>
            <w:tcW w:w="2123" w:type="dxa"/>
            <w:vMerge w:val="restart"/>
            <w:tcBorders>
              <w:top w:val="single" w:sz="4" w:space="0" w:color="auto"/>
              <w:left w:val="nil"/>
              <w:bottom w:val="nil"/>
              <w:right w:val="nil"/>
            </w:tcBorders>
            <w:vAlign w:val="center"/>
          </w:tcPr>
          <w:p w14:paraId="1E0549A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Reviso regularmente noticias e información sobre salud, lo cual influye en mis decisiones de compra de alimentos.</w:t>
            </w:r>
          </w:p>
        </w:tc>
        <w:tc>
          <w:tcPr>
            <w:tcW w:w="2123" w:type="dxa"/>
            <w:tcBorders>
              <w:top w:val="single" w:sz="4" w:space="0" w:color="auto"/>
              <w:left w:val="nil"/>
              <w:bottom w:val="single" w:sz="4" w:space="0" w:color="auto"/>
              <w:right w:val="nil"/>
            </w:tcBorders>
            <w:vAlign w:val="center"/>
          </w:tcPr>
          <w:p w14:paraId="4BE863D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D4A06F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0BFA1AD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38%</w:t>
            </w:r>
          </w:p>
        </w:tc>
      </w:tr>
      <w:tr w:rsidR="0039059E" w:rsidRPr="00F44B56" w14:paraId="700AC8E1" w14:textId="77777777" w:rsidTr="000E7012">
        <w:tc>
          <w:tcPr>
            <w:tcW w:w="2123" w:type="dxa"/>
            <w:vMerge/>
            <w:tcBorders>
              <w:top w:val="nil"/>
              <w:left w:val="nil"/>
              <w:bottom w:val="nil"/>
              <w:right w:val="nil"/>
            </w:tcBorders>
            <w:vAlign w:val="center"/>
          </w:tcPr>
          <w:p w14:paraId="33BCCE34"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6D3F6ED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358B1E2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3511342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5F361288" w14:textId="77777777" w:rsidTr="000E7012">
        <w:tc>
          <w:tcPr>
            <w:tcW w:w="2123" w:type="dxa"/>
            <w:vMerge/>
            <w:tcBorders>
              <w:top w:val="nil"/>
              <w:left w:val="nil"/>
              <w:bottom w:val="single" w:sz="4" w:space="0" w:color="auto"/>
              <w:right w:val="nil"/>
            </w:tcBorders>
          </w:tcPr>
          <w:p w14:paraId="68C96495"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1124AA4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46A5533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w:t>
            </w:r>
          </w:p>
        </w:tc>
        <w:tc>
          <w:tcPr>
            <w:tcW w:w="2124" w:type="dxa"/>
            <w:tcBorders>
              <w:top w:val="single" w:sz="4" w:space="0" w:color="auto"/>
              <w:left w:val="nil"/>
              <w:bottom w:val="single" w:sz="4" w:space="0" w:color="auto"/>
              <w:right w:val="nil"/>
            </w:tcBorders>
            <w:vAlign w:val="center"/>
          </w:tcPr>
          <w:p w14:paraId="4F7539C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22.7%</w:t>
            </w:r>
          </w:p>
        </w:tc>
      </w:tr>
      <w:tr w:rsidR="0039059E" w:rsidRPr="00F44B56" w14:paraId="6E1CBC16" w14:textId="77777777" w:rsidTr="000E7012">
        <w:tc>
          <w:tcPr>
            <w:tcW w:w="2123" w:type="dxa"/>
            <w:vMerge w:val="restart"/>
            <w:tcBorders>
              <w:top w:val="single" w:sz="4" w:space="0" w:color="auto"/>
              <w:left w:val="nil"/>
              <w:bottom w:val="nil"/>
              <w:right w:val="nil"/>
            </w:tcBorders>
            <w:vAlign w:val="center"/>
          </w:tcPr>
          <w:p w14:paraId="3871CEB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Mis objetivos personales de salud justifican gastar más dinero en productos más saludables.</w:t>
            </w:r>
          </w:p>
        </w:tc>
        <w:tc>
          <w:tcPr>
            <w:tcW w:w="2123" w:type="dxa"/>
            <w:tcBorders>
              <w:top w:val="single" w:sz="4" w:space="0" w:color="auto"/>
              <w:left w:val="nil"/>
              <w:bottom w:val="single" w:sz="4" w:space="0" w:color="auto"/>
              <w:right w:val="nil"/>
            </w:tcBorders>
            <w:vAlign w:val="center"/>
          </w:tcPr>
          <w:p w14:paraId="0113034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51710C9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56</w:t>
            </w:r>
          </w:p>
        </w:tc>
        <w:tc>
          <w:tcPr>
            <w:tcW w:w="2124" w:type="dxa"/>
            <w:tcBorders>
              <w:top w:val="single" w:sz="4" w:space="0" w:color="auto"/>
              <w:left w:val="nil"/>
              <w:bottom w:val="single" w:sz="4" w:space="0" w:color="auto"/>
              <w:right w:val="nil"/>
            </w:tcBorders>
            <w:vAlign w:val="center"/>
          </w:tcPr>
          <w:p w14:paraId="78FBC76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37.3%</w:t>
            </w:r>
          </w:p>
        </w:tc>
      </w:tr>
      <w:tr w:rsidR="0039059E" w:rsidRPr="00F44B56" w14:paraId="2956FD3B" w14:textId="77777777" w:rsidTr="000E7012">
        <w:tc>
          <w:tcPr>
            <w:tcW w:w="2123" w:type="dxa"/>
            <w:vMerge/>
            <w:tcBorders>
              <w:top w:val="nil"/>
              <w:left w:val="nil"/>
              <w:bottom w:val="nil"/>
              <w:right w:val="nil"/>
            </w:tcBorders>
            <w:vAlign w:val="center"/>
          </w:tcPr>
          <w:p w14:paraId="5F688EC0"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939583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37F9B7C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54</w:t>
            </w:r>
          </w:p>
        </w:tc>
        <w:tc>
          <w:tcPr>
            <w:tcW w:w="2124" w:type="dxa"/>
            <w:tcBorders>
              <w:top w:val="single" w:sz="4" w:space="0" w:color="auto"/>
              <w:left w:val="nil"/>
              <w:bottom w:val="single" w:sz="4" w:space="0" w:color="auto"/>
              <w:right w:val="nil"/>
            </w:tcBorders>
            <w:vAlign w:val="center"/>
          </w:tcPr>
          <w:p w14:paraId="020C34E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w:t>
            </w:r>
          </w:p>
        </w:tc>
      </w:tr>
      <w:tr w:rsidR="0039059E" w:rsidRPr="00F44B56" w14:paraId="16E6C53D" w14:textId="77777777" w:rsidTr="000E7012">
        <w:tc>
          <w:tcPr>
            <w:tcW w:w="2123" w:type="dxa"/>
            <w:vMerge/>
            <w:tcBorders>
              <w:top w:val="nil"/>
              <w:left w:val="nil"/>
              <w:bottom w:val="single" w:sz="4" w:space="0" w:color="auto"/>
              <w:right w:val="nil"/>
            </w:tcBorders>
          </w:tcPr>
          <w:p w14:paraId="093D7C75"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16DC4B9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1C4C33A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w:t>
            </w:r>
          </w:p>
        </w:tc>
        <w:tc>
          <w:tcPr>
            <w:tcW w:w="2124" w:type="dxa"/>
            <w:tcBorders>
              <w:top w:val="single" w:sz="4" w:space="0" w:color="auto"/>
              <w:left w:val="nil"/>
              <w:bottom w:val="single" w:sz="4" w:space="0" w:color="auto"/>
              <w:right w:val="nil"/>
            </w:tcBorders>
            <w:vAlign w:val="center"/>
          </w:tcPr>
          <w:p w14:paraId="32663AB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23.3%</w:t>
            </w:r>
          </w:p>
        </w:tc>
      </w:tr>
    </w:tbl>
    <w:p w14:paraId="7DC5F164" w14:textId="77777777" w:rsidR="0039059E" w:rsidRDefault="0039059E" w:rsidP="00335146">
      <w:pPr>
        <w:jc w:val="both"/>
        <w:rPr>
          <w:rFonts w:ascii="Gill Sans" w:hAnsi="Gill Sans" w:cs="Gill Sans"/>
          <w:lang w:val="en-US"/>
        </w:rPr>
      </w:pPr>
    </w:p>
    <w:p w14:paraId="13CEB79E" w14:textId="4472A8E3"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on the determinants of willingness to pay more for healthy products.</w:t>
      </w:r>
    </w:p>
    <w:p w14:paraId="7C66F113" w14:textId="77777777" w:rsidR="00335146" w:rsidRDefault="00335146" w:rsidP="00335146">
      <w:pPr>
        <w:jc w:val="both"/>
        <w:rPr>
          <w:rFonts w:ascii="Gill Sans" w:hAnsi="Gill Sans" w:cs="Gill Sans"/>
          <w:lang w:val="en-US"/>
        </w:rPr>
      </w:pPr>
      <w:r w:rsidRPr="00335146">
        <w:rPr>
          <w:rFonts w:ascii="Gill Sans" w:hAnsi="Gill Sans" w:cs="Gill Sans"/>
          <w:lang w:val="en-US"/>
        </w:rPr>
        <w:t>Table 4 focuses directly on identifying the factors that motivate students to pay a slightly higher price for healthy products. It clearly shows that the willingness to pay more is closely related to the health benefits the product offers to the consumer. Furthermore, students’ level of nutritional knowledge significantly influences this decision, as those with more information tend to value healthy attributes more highly. Clear and accessible information about health benefits also plays a key role, as it enables students to make informed decisions. On the other hand, personal wellness goals—such as maintaining a balanced diet or improving quality of life—are determining factors that drive this willingness to pay a little more. Taken together, these elements show that economic motivation is linked not only to perceptions of the product but also to individual health awareness and priorities. Thus, Table 4 demonstrates that the value students assign to healthy products goes beyond price, incorporating aspects related to knowledge and personal goals.</w:t>
      </w:r>
    </w:p>
    <w:p w14:paraId="43E5154F" w14:textId="77777777" w:rsidR="0039059E" w:rsidRPr="00335146" w:rsidRDefault="0039059E" w:rsidP="00335146">
      <w:pPr>
        <w:jc w:val="both"/>
        <w:rPr>
          <w:rFonts w:ascii="Gill Sans" w:hAnsi="Gill Sans" w:cs="Gill Sans"/>
          <w:lang w:val="en-US"/>
        </w:rPr>
      </w:pPr>
    </w:p>
    <w:p w14:paraId="143B6D73" w14:textId="77777777" w:rsidR="00335146" w:rsidRPr="0039059E" w:rsidRDefault="00335146" w:rsidP="00335146">
      <w:pPr>
        <w:jc w:val="both"/>
        <w:rPr>
          <w:rFonts w:ascii="Gill Sans" w:hAnsi="Gill Sans" w:cs="Gill Sans"/>
          <w:b/>
          <w:bCs/>
          <w:lang w:val="en-US"/>
        </w:rPr>
      </w:pPr>
      <w:r w:rsidRPr="0039059E">
        <w:rPr>
          <w:rFonts w:ascii="Gill Sans" w:hAnsi="Gill Sans" w:cs="Gill Sans"/>
          <w:b/>
          <w:bCs/>
          <w:lang w:val="en-US"/>
        </w:rPr>
        <w:lastRenderedPageBreak/>
        <w:t>Table 5</w:t>
      </w:r>
    </w:p>
    <w:p w14:paraId="46E29EE2" w14:textId="77777777" w:rsidR="00335146" w:rsidRPr="0039059E" w:rsidRDefault="00335146" w:rsidP="00335146">
      <w:pPr>
        <w:jc w:val="both"/>
        <w:rPr>
          <w:rFonts w:ascii="Gill Sans" w:hAnsi="Gill Sans" w:cs="Gill Sans"/>
          <w:i/>
          <w:iCs/>
          <w:lang w:val="en-US"/>
        </w:rPr>
      </w:pPr>
      <w:r w:rsidRPr="0039059E">
        <w:rPr>
          <w:rFonts w:ascii="Gill Sans" w:hAnsi="Gill Sans" w:cs="Gill Sans"/>
          <w:i/>
          <w:iCs/>
          <w:lang w:val="en-US"/>
        </w:rPr>
        <w:t>Cognitive Factors Influencing Willingness to Pay for Healthy Products</w:t>
      </w:r>
    </w:p>
    <w:tbl>
      <w:tblPr>
        <w:tblStyle w:val="Tablaconcuadrcula"/>
        <w:tblW w:w="0" w:type="auto"/>
        <w:tblLook w:val="04A0" w:firstRow="1" w:lastRow="0" w:firstColumn="1" w:lastColumn="0" w:noHBand="0" w:noVBand="1"/>
      </w:tblPr>
      <w:tblGrid>
        <w:gridCol w:w="2123"/>
        <w:gridCol w:w="2123"/>
        <w:gridCol w:w="2124"/>
        <w:gridCol w:w="2124"/>
      </w:tblGrid>
      <w:tr w:rsidR="0039059E" w:rsidRPr="00F44B56" w14:paraId="60449C1A" w14:textId="77777777" w:rsidTr="000E7012">
        <w:tc>
          <w:tcPr>
            <w:tcW w:w="2123" w:type="dxa"/>
            <w:tcBorders>
              <w:top w:val="single" w:sz="4" w:space="0" w:color="auto"/>
              <w:left w:val="nil"/>
              <w:bottom w:val="single" w:sz="4" w:space="0" w:color="auto"/>
              <w:right w:val="nil"/>
            </w:tcBorders>
          </w:tcPr>
          <w:p w14:paraId="2BBACCC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384FF89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6EFFA49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6059635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RESULTADOS</w:t>
            </w:r>
          </w:p>
        </w:tc>
      </w:tr>
      <w:tr w:rsidR="0039059E" w:rsidRPr="00F44B56" w14:paraId="2CA87663" w14:textId="77777777" w:rsidTr="000E7012">
        <w:trPr>
          <w:trHeight w:val="353"/>
        </w:trPr>
        <w:tc>
          <w:tcPr>
            <w:tcW w:w="2123" w:type="dxa"/>
            <w:vMerge w:val="restart"/>
            <w:tcBorders>
              <w:top w:val="single" w:sz="4" w:space="0" w:color="auto"/>
              <w:left w:val="nil"/>
              <w:bottom w:val="nil"/>
              <w:right w:val="nil"/>
            </w:tcBorders>
            <w:vAlign w:val="center"/>
          </w:tcPr>
          <w:p w14:paraId="432584A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Creo que existe una correlación directa entre el precio de un producto y sus beneficios para la salud.</w:t>
            </w:r>
          </w:p>
        </w:tc>
        <w:tc>
          <w:tcPr>
            <w:tcW w:w="2123" w:type="dxa"/>
            <w:tcBorders>
              <w:top w:val="single" w:sz="4" w:space="0" w:color="auto"/>
              <w:left w:val="nil"/>
              <w:bottom w:val="single" w:sz="4" w:space="0" w:color="auto"/>
              <w:right w:val="nil"/>
            </w:tcBorders>
            <w:vAlign w:val="center"/>
          </w:tcPr>
          <w:p w14:paraId="1160155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2E1FE72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18F290C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7F09D47B" w14:textId="77777777" w:rsidTr="000E7012">
        <w:tc>
          <w:tcPr>
            <w:tcW w:w="2123" w:type="dxa"/>
            <w:vMerge/>
            <w:tcBorders>
              <w:top w:val="nil"/>
              <w:left w:val="nil"/>
              <w:bottom w:val="nil"/>
              <w:right w:val="nil"/>
            </w:tcBorders>
            <w:vAlign w:val="center"/>
          </w:tcPr>
          <w:p w14:paraId="55D27CDE"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70D46B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35F7E5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217E22C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31.3%</w:t>
            </w:r>
          </w:p>
        </w:tc>
      </w:tr>
      <w:tr w:rsidR="0039059E" w:rsidRPr="00F44B56" w14:paraId="426F5EE5" w14:textId="77777777" w:rsidTr="000E7012">
        <w:tc>
          <w:tcPr>
            <w:tcW w:w="2123" w:type="dxa"/>
            <w:vMerge/>
            <w:tcBorders>
              <w:top w:val="nil"/>
              <w:left w:val="nil"/>
              <w:bottom w:val="single" w:sz="4" w:space="0" w:color="auto"/>
              <w:right w:val="nil"/>
            </w:tcBorders>
            <w:vAlign w:val="center"/>
          </w:tcPr>
          <w:p w14:paraId="372973DC"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C4E9E7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7F21B8A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41</w:t>
            </w:r>
          </w:p>
        </w:tc>
        <w:tc>
          <w:tcPr>
            <w:tcW w:w="2124" w:type="dxa"/>
            <w:tcBorders>
              <w:top w:val="single" w:sz="4" w:space="0" w:color="auto"/>
              <w:left w:val="nil"/>
              <w:bottom w:val="single" w:sz="4" w:space="0" w:color="auto"/>
              <w:right w:val="nil"/>
            </w:tcBorders>
            <w:vAlign w:val="center"/>
          </w:tcPr>
          <w:p w14:paraId="4BB6E4A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27.3%</w:t>
            </w:r>
          </w:p>
        </w:tc>
      </w:tr>
      <w:tr w:rsidR="0039059E" w:rsidRPr="00F44B56" w14:paraId="7922DA99" w14:textId="77777777" w:rsidTr="000E7012">
        <w:trPr>
          <w:trHeight w:val="298"/>
        </w:trPr>
        <w:tc>
          <w:tcPr>
            <w:tcW w:w="2123" w:type="dxa"/>
            <w:vMerge w:val="restart"/>
            <w:tcBorders>
              <w:top w:val="single" w:sz="4" w:space="0" w:color="auto"/>
              <w:left w:val="nil"/>
              <w:bottom w:val="nil"/>
              <w:right w:val="nil"/>
            </w:tcBorders>
            <w:vAlign w:val="center"/>
          </w:tcPr>
          <w:p w14:paraId="45984AD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 conocimiento de las enfermedades crónicas influye en cuánto más estoy dispuesto a pagar por opciones más saludables.</w:t>
            </w:r>
          </w:p>
        </w:tc>
        <w:tc>
          <w:tcPr>
            <w:tcW w:w="2123" w:type="dxa"/>
            <w:tcBorders>
              <w:top w:val="single" w:sz="4" w:space="0" w:color="auto"/>
              <w:left w:val="nil"/>
              <w:bottom w:val="single" w:sz="4" w:space="0" w:color="auto"/>
              <w:right w:val="nil"/>
            </w:tcBorders>
            <w:vAlign w:val="center"/>
          </w:tcPr>
          <w:p w14:paraId="7E7ADC4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A62BF3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494F0FE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38%</w:t>
            </w:r>
          </w:p>
        </w:tc>
      </w:tr>
      <w:tr w:rsidR="0039059E" w:rsidRPr="00F44B56" w14:paraId="05FBAA54" w14:textId="77777777" w:rsidTr="000E7012">
        <w:trPr>
          <w:trHeight w:val="416"/>
        </w:trPr>
        <w:tc>
          <w:tcPr>
            <w:tcW w:w="2123" w:type="dxa"/>
            <w:vMerge/>
            <w:tcBorders>
              <w:top w:val="nil"/>
              <w:left w:val="nil"/>
              <w:bottom w:val="nil"/>
              <w:right w:val="nil"/>
            </w:tcBorders>
            <w:vAlign w:val="center"/>
          </w:tcPr>
          <w:p w14:paraId="4929282D"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AF7254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065E1A5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49</w:t>
            </w:r>
          </w:p>
        </w:tc>
        <w:tc>
          <w:tcPr>
            <w:tcW w:w="2124" w:type="dxa"/>
            <w:tcBorders>
              <w:top w:val="single" w:sz="4" w:space="0" w:color="auto"/>
              <w:left w:val="nil"/>
              <w:bottom w:val="single" w:sz="4" w:space="0" w:color="auto"/>
              <w:right w:val="nil"/>
            </w:tcBorders>
            <w:vAlign w:val="center"/>
          </w:tcPr>
          <w:p w14:paraId="6324632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32.7%</w:t>
            </w:r>
          </w:p>
        </w:tc>
      </w:tr>
      <w:tr w:rsidR="0039059E" w:rsidRPr="00F44B56" w14:paraId="0FFB8CDE" w14:textId="77777777" w:rsidTr="000E7012">
        <w:tc>
          <w:tcPr>
            <w:tcW w:w="2123" w:type="dxa"/>
            <w:vMerge/>
            <w:tcBorders>
              <w:top w:val="nil"/>
              <w:left w:val="nil"/>
              <w:bottom w:val="single" w:sz="4" w:space="0" w:color="auto"/>
              <w:right w:val="nil"/>
            </w:tcBorders>
          </w:tcPr>
          <w:p w14:paraId="22C21AFB"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B91C71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728F376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7B4E901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r w:rsidR="0039059E" w:rsidRPr="00F44B56" w14:paraId="78BF9626" w14:textId="77777777" w:rsidTr="000E7012">
        <w:trPr>
          <w:trHeight w:val="330"/>
        </w:trPr>
        <w:tc>
          <w:tcPr>
            <w:tcW w:w="2123" w:type="dxa"/>
            <w:vMerge w:val="restart"/>
            <w:tcBorders>
              <w:top w:val="single" w:sz="4" w:space="0" w:color="auto"/>
              <w:left w:val="nil"/>
              <w:bottom w:val="nil"/>
              <w:right w:val="nil"/>
            </w:tcBorders>
            <w:vAlign w:val="center"/>
          </w:tcPr>
          <w:p w14:paraId="4057DC8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Estoy más dispuesto a pagar precios más altos por productos saludables cuando entiendo sus beneficios específicos para la salud.</w:t>
            </w:r>
          </w:p>
        </w:tc>
        <w:tc>
          <w:tcPr>
            <w:tcW w:w="2123" w:type="dxa"/>
            <w:tcBorders>
              <w:top w:val="single" w:sz="4" w:space="0" w:color="auto"/>
              <w:left w:val="nil"/>
              <w:bottom w:val="single" w:sz="4" w:space="0" w:color="auto"/>
              <w:right w:val="nil"/>
            </w:tcBorders>
            <w:vAlign w:val="center"/>
          </w:tcPr>
          <w:p w14:paraId="05B392D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55140DC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61</w:t>
            </w:r>
          </w:p>
        </w:tc>
        <w:tc>
          <w:tcPr>
            <w:tcW w:w="2124" w:type="dxa"/>
            <w:tcBorders>
              <w:top w:val="single" w:sz="4" w:space="0" w:color="auto"/>
              <w:left w:val="nil"/>
              <w:bottom w:val="single" w:sz="4" w:space="0" w:color="auto"/>
              <w:right w:val="nil"/>
            </w:tcBorders>
            <w:vAlign w:val="center"/>
          </w:tcPr>
          <w:p w14:paraId="7D6076E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40.7%</w:t>
            </w:r>
          </w:p>
        </w:tc>
      </w:tr>
      <w:tr w:rsidR="0039059E" w:rsidRPr="00F44B56" w14:paraId="4E6A851E" w14:textId="77777777" w:rsidTr="000E7012">
        <w:trPr>
          <w:trHeight w:val="406"/>
        </w:trPr>
        <w:tc>
          <w:tcPr>
            <w:tcW w:w="2123" w:type="dxa"/>
            <w:vMerge/>
            <w:tcBorders>
              <w:top w:val="nil"/>
              <w:left w:val="nil"/>
              <w:bottom w:val="nil"/>
              <w:right w:val="nil"/>
            </w:tcBorders>
            <w:vAlign w:val="center"/>
          </w:tcPr>
          <w:p w14:paraId="68F01C39"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5E77B09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30BF652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3999700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r w:rsidR="0039059E" w:rsidRPr="00F44B56" w14:paraId="2931DDE4" w14:textId="77777777" w:rsidTr="000E7012">
        <w:tc>
          <w:tcPr>
            <w:tcW w:w="2123" w:type="dxa"/>
            <w:vMerge/>
            <w:tcBorders>
              <w:top w:val="nil"/>
              <w:left w:val="nil"/>
              <w:bottom w:val="single" w:sz="4" w:space="0" w:color="auto"/>
              <w:right w:val="nil"/>
            </w:tcBorders>
          </w:tcPr>
          <w:p w14:paraId="6781B6EC"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653729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7A5F280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40</w:t>
            </w:r>
          </w:p>
        </w:tc>
        <w:tc>
          <w:tcPr>
            <w:tcW w:w="2124" w:type="dxa"/>
            <w:tcBorders>
              <w:top w:val="single" w:sz="4" w:space="0" w:color="auto"/>
              <w:left w:val="nil"/>
              <w:bottom w:val="single" w:sz="4" w:space="0" w:color="auto"/>
              <w:right w:val="nil"/>
            </w:tcBorders>
            <w:vAlign w:val="center"/>
          </w:tcPr>
          <w:p w14:paraId="2F8F580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26.7%</w:t>
            </w:r>
          </w:p>
        </w:tc>
      </w:tr>
      <w:tr w:rsidR="0039059E" w:rsidRPr="00F44B56" w14:paraId="3BF64E75" w14:textId="77777777" w:rsidTr="000E7012">
        <w:trPr>
          <w:trHeight w:val="348"/>
        </w:trPr>
        <w:tc>
          <w:tcPr>
            <w:tcW w:w="2123" w:type="dxa"/>
            <w:vMerge w:val="restart"/>
            <w:tcBorders>
              <w:top w:val="single" w:sz="4" w:space="0" w:color="auto"/>
              <w:left w:val="nil"/>
              <w:bottom w:val="nil"/>
              <w:right w:val="nil"/>
            </w:tcBorders>
            <w:vAlign w:val="center"/>
          </w:tcPr>
          <w:p w14:paraId="791A2E4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 exposición a la educación para la salud influye en mi disposición a pagar más por productos con beneficios adicionales para la salud. </w:t>
            </w:r>
          </w:p>
        </w:tc>
        <w:tc>
          <w:tcPr>
            <w:tcW w:w="2123" w:type="dxa"/>
            <w:tcBorders>
              <w:top w:val="single" w:sz="4" w:space="0" w:color="auto"/>
              <w:left w:val="nil"/>
              <w:bottom w:val="single" w:sz="4" w:space="0" w:color="auto"/>
              <w:right w:val="nil"/>
            </w:tcBorders>
            <w:vAlign w:val="center"/>
          </w:tcPr>
          <w:p w14:paraId="7C6E00F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328770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62</w:t>
            </w:r>
          </w:p>
        </w:tc>
        <w:tc>
          <w:tcPr>
            <w:tcW w:w="2124" w:type="dxa"/>
            <w:tcBorders>
              <w:top w:val="single" w:sz="4" w:space="0" w:color="auto"/>
              <w:left w:val="nil"/>
              <w:bottom w:val="single" w:sz="4" w:space="0" w:color="auto"/>
              <w:right w:val="nil"/>
            </w:tcBorders>
            <w:vAlign w:val="center"/>
          </w:tcPr>
          <w:p w14:paraId="626AF2E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41.3%</w:t>
            </w:r>
          </w:p>
        </w:tc>
      </w:tr>
      <w:tr w:rsidR="0039059E" w:rsidRPr="00F44B56" w14:paraId="2D118B0E" w14:textId="77777777" w:rsidTr="000E7012">
        <w:trPr>
          <w:trHeight w:val="410"/>
        </w:trPr>
        <w:tc>
          <w:tcPr>
            <w:tcW w:w="2123" w:type="dxa"/>
            <w:vMerge/>
            <w:tcBorders>
              <w:top w:val="nil"/>
              <w:left w:val="nil"/>
              <w:bottom w:val="nil"/>
              <w:right w:val="nil"/>
            </w:tcBorders>
            <w:vAlign w:val="center"/>
          </w:tcPr>
          <w:p w14:paraId="732CA89B"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134D34C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13EF64E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61FFCAB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31.3%</w:t>
            </w:r>
          </w:p>
        </w:tc>
      </w:tr>
      <w:tr w:rsidR="0039059E" w:rsidRPr="00F44B56" w14:paraId="53E2DBCF" w14:textId="77777777" w:rsidTr="000E7012">
        <w:tc>
          <w:tcPr>
            <w:tcW w:w="2123" w:type="dxa"/>
            <w:vMerge/>
            <w:tcBorders>
              <w:top w:val="nil"/>
              <w:left w:val="nil"/>
              <w:bottom w:val="single" w:sz="4" w:space="0" w:color="auto"/>
              <w:right w:val="nil"/>
            </w:tcBorders>
          </w:tcPr>
          <w:p w14:paraId="15105C20"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2FAAE86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4AA29AC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w:t>
            </w:r>
          </w:p>
        </w:tc>
        <w:tc>
          <w:tcPr>
            <w:tcW w:w="2124" w:type="dxa"/>
            <w:tcBorders>
              <w:top w:val="single" w:sz="4" w:space="0" w:color="auto"/>
              <w:left w:val="nil"/>
              <w:bottom w:val="single" w:sz="4" w:space="0" w:color="auto"/>
              <w:right w:val="nil"/>
            </w:tcBorders>
            <w:vAlign w:val="center"/>
          </w:tcPr>
          <w:p w14:paraId="5B18723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23.3%</w:t>
            </w:r>
          </w:p>
        </w:tc>
      </w:tr>
    </w:tbl>
    <w:p w14:paraId="36617AC6" w14:textId="77777777" w:rsidR="0039059E" w:rsidRDefault="0039059E" w:rsidP="00335146">
      <w:pPr>
        <w:jc w:val="both"/>
        <w:rPr>
          <w:rFonts w:ascii="Gill Sans" w:hAnsi="Gill Sans" w:cs="Gill Sans"/>
          <w:lang w:val="en-US"/>
        </w:rPr>
      </w:pPr>
    </w:p>
    <w:p w14:paraId="40D96FE4" w14:textId="466F4972"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on the factors influencing willingness to pay.</w:t>
      </w:r>
    </w:p>
    <w:p w14:paraId="70A64A2D" w14:textId="77777777" w:rsidR="00335146" w:rsidRDefault="00335146" w:rsidP="00335146">
      <w:pPr>
        <w:jc w:val="both"/>
        <w:rPr>
          <w:rFonts w:ascii="Gill Sans" w:hAnsi="Gill Sans" w:cs="Gill Sans"/>
          <w:lang w:val="en-US"/>
        </w:rPr>
      </w:pPr>
      <w:r w:rsidRPr="00335146">
        <w:rPr>
          <w:rFonts w:ascii="Gill Sans" w:hAnsi="Gill Sans" w:cs="Gill Sans"/>
          <w:lang w:val="en-US"/>
        </w:rPr>
        <w:t>Table 5 examines in depth the cognitive processes and information that students use to justify higher spending on healthy products. It reveals that various cognitive factors play a crucial role in this willingness to pay more. Among these factors, students’ perception of the relationship between price and health benefits stands out, as it directly influences their assessment of the product. Likewise, their knowledge of chronic diseases allows them to better understand the importance of choosing healthy options. Understanding specific benefits, such as risk reduction or nutritional value, is also essential in supporting their purchasing decision. Furthermore, health education significantly contributes to students making more informed and conscious decisions. Taken together, these cognitive elements form the basis on which students justify the additional expense for products they consider beneficial to their well-being. Therefore, Table 5 highlights the importance of information and knowledge in motivating investment in health through diet.</w:t>
      </w:r>
    </w:p>
    <w:p w14:paraId="7130C4BD" w14:textId="77777777" w:rsidR="0039059E" w:rsidRDefault="0039059E" w:rsidP="00335146">
      <w:pPr>
        <w:jc w:val="both"/>
        <w:rPr>
          <w:rFonts w:ascii="Gill Sans" w:hAnsi="Gill Sans" w:cs="Gill Sans"/>
          <w:lang w:val="en-US"/>
        </w:rPr>
      </w:pPr>
    </w:p>
    <w:p w14:paraId="34BCDC17" w14:textId="77777777" w:rsidR="0039059E" w:rsidRDefault="0039059E" w:rsidP="00335146">
      <w:pPr>
        <w:jc w:val="both"/>
        <w:rPr>
          <w:rFonts w:ascii="Gill Sans" w:hAnsi="Gill Sans" w:cs="Gill Sans"/>
          <w:lang w:val="en-US"/>
        </w:rPr>
      </w:pPr>
    </w:p>
    <w:p w14:paraId="5619668B" w14:textId="77777777" w:rsidR="0039059E" w:rsidRDefault="0039059E" w:rsidP="00335146">
      <w:pPr>
        <w:jc w:val="both"/>
        <w:rPr>
          <w:rFonts w:ascii="Gill Sans" w:hAnsi="Gill Sans" w:cs="Gill Sans"/>
          <w:lang w:val="en-US"/>
        </w:rPr>
      </w:pPr>
    </w:p>
    <w:p w14:paraId="69EA869A" w14:textId="77777777" w:rsidR="0039059E" w:rsidRDefault="0039059E" w:rsidP="00335146">
      <w:pPr>
        <w:jc w:val="both"/>
        <w:rPr>
          <w:rFonts w:ascii="Gill Sans" w:hAnsi="Gill Sans" w:cs="Gill Sans"/>
          <w:lang w:val="en-US"/>
        </w:rPr>
      </w:pPr>
    </w:p>
    <w:p w14:paraId="1893505C" w14:textId="77777777" w:rsidR="0039059E" w:rsidRDefault="0039059E" w:rsidP="00335146">
      <w:pPr>
        <w:jc w:val="both"/>
        <w:rPr>
          <w:rFonts w:ascii="Gill Sans" w:hAnsi="Gill Sans" w:cs="Gill Sans"/>
          <w:lang w:val="en-US"/>
        </w:rPr>
      </w:pPr>
    </w:p>
    <w:p w14:paraId="23CCF8BE" w14:textId="77777777" w:rsidR="0039059E" w:rsidRPr="00335146" w:rsidRDefault="0039059E" w:rsidP="00335146">
      <w:pPr>
        <w:jc w:val="both"/>
        <w:rPr>
          <w:rFonts w:ascii="Gill Sans" w:hAnsi="Gill Sans" w:cs="Gill Sans"/>
          <w:lang w:val="en-US"/>
        </w:rPr>
      </w:pPr>
    </w:p>
    <w:p w14:paraId="3678A413" w14:textId="77777777" w:rsidR="00335146" w:rsidRPr="0039059E" w:rsidRDefault="00335146" w:rsidP="00335146">
      <w:pPr>
        <w:jc w:val="both"/>
        <w:rPr>
          <w:rFonts w:ascii="Gill Sans" w:hAnsi="Gill Sans" w:cs="Gill Sans"/>
          <w:b/>
          <w:bCs/>
          <w:lang w:val="en-US"/>
        </w:rPr>
      </w:pPr>
      <w:r w:rsidRPr="0039059E">
        <w:rPr>
          <w:rFonts w:ascii="Gill Sans" w:hAnsi="Gill Sans" w:cs="Gill Sans"/>
          <w:b/>
          <w:bCs/>
          <w:lang w:val="en-US"/>
        </w:rPr>
        <w:lastRenderedPageBreak/>
        <w:t>Table 6</w:t>
      </w:r>
    </w:p>
    <w:p w14:paraId="4D3B2CD1"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Influence of Price on the Choice Between Healthy and Conventional Products</w:t>
      </w:r>
    </w:p>
    <w:tbl>
      <w:tblPr>
        <w:tblStyle w:val="Tablaconcuadrcula"/>
        <w:tblW w:w="0" w:type="auto"/>
        <w:tblLook w:val="04A0" w:firstRow="1" w:lastRow="0" w:firstColumn="1" w:lastColumn="0" w:noHBand="0" w:noVBand="1"/>
      </w:tblPr>
      <w:tblGrid>
        <w:gridCol w:w="2123"/>
        <w:gridCol w:w="2123"/>
        <w:gridCol w:w="2124"/>
        <w:gridCol w:w="2124"/>
      </w:tblGrid>
      <w:tr w:rsidR="0039059E" w:rsidRPr="00F44B56" w14:paraId="40D335F8" w14:textId="77777777" w:rsidTr="000E7012">
        <w:tc>
          <w:tcPr>
            <w:tcW w:w="2123" w:type="dxa"/>
            <w:tcBorders>
              <w:top w:val="single" w:sz="4" w:space="0" w:color="auto"/>
              <w:left w:val="nil"/>
              <w:bottom w:val="single" w:sz="4" w:space="0" w:color="auto"/>
              <w:right w:val="nil"/>
            </w:tcBorders>
          </w:tcPr>
          <w:p w14:paraId="279BD69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208380F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6FF7937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07E03EB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RESULTADOS</w:t>
            </w:r>
          </w:p>
        </w:tc>
      </w:tr>
      <w:tr w:rsidR="0039059E" w:rsidRPr="00F44B56" w14:paraId="26FA4F4D" w14:textId="77777777" w:rsidTr="000E7012">
        <w:tc>
          <w:tcPr>
            <w:tcW w:w="2123" w:type="dxa"/>
            <w:vMerge w:val="restart"/>
            <w:tcBorders>
              <w:top w:val="single" w:sz="4" w:space="0" w:color="auto"/>
              <w:left w:val="nil"/>
              <w:bottom w:val="nil"/>
              <w:right w:val="nil"/>
            </w:tcBorders>
            <w:vAlign w:val="center"/>
          </w:tcPr>
          <w:p w14:paraId="01CA411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Comparo regularmente los precios de los productos convencionales y sus alternativas más saludables antes de comprarlos.</w:t>
            </w:r>
          </w:p>
        </w:tc>
        <w:tc>
          <w:tcPr>
            <w:tcW w:w="2123" w:type="dxa"/>
            <w:tcBorders>
              <w:top w:val="single" w:sz="4" w:space="0" w:color="auto"/>
              <w:left w:val="nil"/>
              <w:bottom w:val="single" w:sz="4" w:space="0" w:color="auto"/>
              <w:right w:val="nil"/>
            </w:tcBorders>
            <w:vAlign w:val="center"/>
          </w:tcPr>
          <w:p w14:paraId="4730BD1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33D3071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68</w:t>
            </w:r>
          </w:p>
        </w:tc>
        <w:tc>
          <w:tcPr>
            <w:tcW w:w="2124" w:type="dxa"/>
            <w:tcBorders>
              <w:top w:val="single" w:sz="4" w:space="0" w:color="auto"/>
              <w:left w:val="nil"/>
              <w:bottom w:val="single" w:sz="4" w:space="0" w:color="auto"/>
              <w:right w:val="nil"/>
            </w:tcBorders>
            <w:vAlign w:val="center"/>
          </w:tcPr>
          <w:p w14:paraId="41C468E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45.3%</w:t>
            </w:r>
          </w:p>
        </w:tc>
      </w:tr>
      <w:tr w:rsidR="0039059E" w:rsidRPr="00F44B56" w14:paraId="6AB40270" w14:textId="77777777" w:rsidTr="000E7012">
        <w:tc>
          <w:tcPr>
            <w:tcW w:w="2123" w:type="dxa"/>
            <w:vMerge/>
            <w:tcBorders>
              <w:top w:val="nil"/>
              <w:left w:val="nil"/>
              <w:bottom w:val="nil"/>
              <w:right w:val="nil"/>
            </w:tcBorders>
            <w:vAlign w:val="center"/>
          </w:tcPr>
          <w:p w14:paraId="6BC0F278"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6422D9F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810694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48</w:t>
            </w:r>
          </w:p>
        </w:tc>
        <w:tc>
          <w:tcPr>
            <w:tcW w:w="2124" w:type="dxa"/>
            <w:tcBorders>
              <w:top w:val="single" w:sz="4" w:space="0" w:color="auto"/>
              <w:left w:val="nil"/>
              <w:bottom w:val="single" w:sz="4" w:space="0" w:color="auto"/>
              <w:right w:val="nil"/>
            </w:tcBorders>
            <w:vAlign w:val="center"/>
          </w:tcPr>
          <w:p w14:paraId="18A41B3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32%</w:t>
            </w:r>
          </w:p>
        </w:tc>
      </w:tr>
      <w:tr w:rsidR="0039059E" w:rsidRPr="00F44B56" w14:paraId="33874297" w14:textId="77777777" w:rsidTr="000E7012">
        <w:tc>
          <w:tcPr>
            <w:tcW w:w="2123" w:type="dxa"/>
            <w:vMerge/>
            <w:tcBorders>
              <w:top w:val="nil"/>
              <w:left w:val="nil"/>
              <w:bottom w:val="single" w:sz="4" w:space="0" w:color="auto"/>
              <w:right w:val="nil"/>
            </w:tcBorders>
            <w:vAlign w:val="center"/>
          </w:tcPr>
          <w:p w14:paraId="16CE6226"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6980F0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1284E3A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30</w:t>
            </w:r>
          </w:p>
        </w:tc>
        <w:tc>
          <w:tcPr>
            <w:tcW w:w="2124" w:type="dxa"/>
            <w:tcBorders>
              <w:top w:val="single" w:sz="4" w:space="0" w:color="auto"/>
              <w:left w:val="nil"/>
              <w:bottom w:val="single" w:sz="4" w:space="0" w:color="auto"/>
              <w:right w:val="nil"/>
            </w:tcBorders>
            <w:vAlign w:val="center"/>
          </w:tcPr>
          <w:p w14:paraId="0F1F017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20%</w:t>
            </w:r>
          </w:p>
        </w:tc>
      </w:tr>
      <w:tr w:rsidR="0039059E" w:rsidRPr="00F44B56" w14:paraId="47439240" w14:textId="77777777" w:rsidTr="000E7012">
        <w:trPr>
          <w:trHeight w:val="417"/>
        </w:trPr>
        <w:tc>
          <w:tcPr>
            <w:tcW w:w="2123" w:type="dxa"/>
            <w:vMerge w:val="restart"/>
            <w:tcBorders>
              <w:top w:val="single" w:sz="4" w:space="0" w:color="auto"/>
              <w:left w:val="nil"/>
              <w:bottom w:val="nil"/>
              <w:right w:val="nil"/>
            </w:tcBorders>
            <w:vAlign w:val="center"/>
          </w:tcPr>
          <w:p w14:paraId="67125BF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Aunque el precio de un producto saludable suba ligeramente, sigo prefiriéndolo antes que una alternativa convencional más económica.</w:t>
            </w:r>
          </w:p>
        </w:tc>
        <w:tc>
          <w:tcPr>
            <w:tcW w:w="2123" w:type="dxa"/>
            <w:tcBorders>
              <w:top w:val="single" w:sz="4" w:space="0" w:color="auto"/>
              <w:left w:val="nil"/>
              <w:bottom w:val="single" w:sz="4" w:space="0" w:color="auto"/>
              <w:right w:val="nil"/>
            </w:tcBorders>
            <w:vAlign w:val="center"/>
          </w:tcPr>
          <w:p w14:paraId="465F0D0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78316B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56</w:t>
            </w:r>
          </w:p>
        </w:tc>
        <w:tc>
          <w:tcPr>
            <w:tcW w:w="2124" w:type="dxa"/>
            <w:tcBorders>
              <w:top w:val="single" w:sz="4" w:space="0" w:color="auto"/>
              <w:left w:val="nil"/>
              <w:bottom w:val="single" w:sz="4" w:space="0" w:color="auto"/>
              <w:right w:val="nil"/>
            </w:tcBorders>
            <w:vAlign w:val="center"/>
          </w:tcPr>
          <w:p w14:paraId="0B0B302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37.3%</w:t>
            </w:r>
          </w:p>
        </w:tc>
      </w:tr>
      <w:tr w:rsidR="0039059E" w:rsidRPr="00F44B56" w14:paraId="693B6AB4" w14:textId="77777777" w:rsidTr="000E7012">
        <w:trPr>
          <w:trHeight w:val="409"/>
        </w:trPr>
        <w:tc>
          <w:tcPr>
            <w:tcW w:w="2123" w:type="dxa"/>
            <w:vMerge/>
            <w:tcBorders>
              <w:top w:val="nil"/>
              <w:left w:val="nil"/>
              <w:bottom w:val="nil"/>
              <w:right w:val="nil"/>
            </w:tcBorders>
            <w:vAlign w:val="center"/>
          </w:tcPr>
          <w:p w14:paraId="064E76AC"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B2B5AA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1941C56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56</w:t>
            </w:r>
          </w:p>
        </w:tc>
        <w:tc>
          <w:tcPr>
            <w:tcW w:w="2124" w:type="dxa"/>
            <w:tcBorders>
              <w:top w:val="single" w:sz="4" w:space="0" w:color="auto"/>
              <w:left w:val="nil"/>
              <w:bottom w:val="single" w:sz="4" w:space="0" w:color="auto"/>
              <w:right w:val="nil"/>
            </w:tcBorders>
            <w:vAlign w:val="center"/>
          </w:tcPr>
          <w:p w14:paraId="0B3E1F1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37.3%</w:t>
            </w:r>
          </w:p>
        </w:tc>
      </w:tr>
      <w:tr w:rsidR="0039059E" w:rsidRPr="00F44B56" w14:paraId="521DD6BA" w14:textId="77777777" w:rsidTr="000E7012">
        <w:trPr>
          <w:trHeight w:val="556"/>
        </w:trPr>
        <w:tc>
          <w:tcPr>
            <w:tcW w:w="2123" w:type="dxa"/>
            <w:vMerge/>
            <w:tcBorders>
              <w:top w:val="nil"/>
              <w:left w:val="nil"/>
              <w:bottom w:val="single" w:sz="4" w:space="0" w:color="auto"/>
              <w:right w:val="nil"/>
            </w:tcBorders>
          </w:tcPr>
          <w:p w14:paraId="277961D2"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6AA746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043F84D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w:t>
            </w:r>
          </w:p>
        </w:tc>
        <w:tc>
          <w:tcPr>
            <w:tcW w:w="2124" w:type="dxa"/>
            <w:tcBorders>
              <w:top w:val="single" w:sz="4" w:space="0" w:color="auto"/>
              <w:left w:val="nil"/>
              <w:bottom w:val="single" w:sz="4" w:space="0" w:color="auto"/>
              <w:right w:val="nil"/>
            </w:tcBorders>
            <w:vAlign w:val="center"/>
          </w:tcPr>
          <w:p w14:paraId="13D79FE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24%</w:t>
            </w:r>
          </w:p>
        </w:tc>
      </w:tr>
      <w:tr w:rsidR="0039059E" w:rsidRPr="00F44B56" w14:paraId="3B13EA82" w14:textId="77777777" w:rsidTr="000E7012">
        <w:trPr>
          <w:trHeight w:val="437"/>
        </w:trPr>
        <w:tc>
          <w:tcPr>
            <w:tcW w:w="2123" w:type="dxa"/>
            <w:vMerge w:val="restart"/>
            <w:tcBorders>
              <w:top w:val="single" w:sz="4" w:space="0" w:color="auto"/>
              <w:left w:val="nil"/>
              <w:bottom w:val="nil"/>
              <w:right w:val="nil"/>
            </w:tcBorders>
            <w:vAlign w:val="center"/>
          </w:tcPr>
          <w:p w14:paraId="5DC382C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 comportamiento de compra cambia más drásticamente con los cambios de precio de los productos convencionales que con los productos saludables.</w:t>
            </w:r>
          </w:p>
        </w:tc>
        <w:tc>
          <w:tcPr>
            <w:tcW w:w="2123" w:type="dxa"/>
            <w:tcBorders>
              <w:top w:val="single" w:sz="4" w:space="0" w:color="auto"/>
              <w:left w:val="nil"/>
              <w:bottom w:val="single" w:sz="4" w:space="0" w:color="auto"/>
              <w:right w:val="nil"/>
            </w:tcBorders>
            <w:vAlign w:val="center"/>
          </w:tcPr>
          <w:p w14:paraId="307DB52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619BB2B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2D23377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613A6348" w14:textId="77777777" w:rsidTr="000E7012">
        <w:trPr>
          <w:trHeight w:val="402"/>
        </w:trPr>
        <w:tc>
          <w:tcPr>
            <w:tcW w:w="2123" w:type="dxa"/>
            <w:vMerge/>
            <w:tcBorders>
              <w:top w:val="nil"/>
              <w:left w:val="nil"/>
              <w:bottom w:val="nil"/>
              <w:right w:val="nil"/>
            </w:tcBorders>
            <w:vAlign w:val="center"/>
          </w:tcPr>
          <w:p w14:paraId="061856FF"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6ECE18F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73A10C5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0462E6B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13B86669" w14:textId="77777777" w:rsidTr="000E7012">
        <w:trPr>
          <w:trHeight w:val="564"/>
        </w:trPr>
        <w:tc>
          <w:tcPr>
            <w:tcW w:w="2123" w:type="dxa"/>
            <w:vMerge/>
            <w:tcBorders>
              <w:top w:val="nil"/>
              <w:left w:val="nil"/>
              <w:bottom w:val="single" w:sz="4" w:space="0" w:color="auto"/>
              <w:right w:val="nil"/>
            </w:tcBorders>
          </w:tcPr>
          <w:p w14:paraId="17FFA8B6"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5F802A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568A341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41</w:t>
            </w:r>
          </w:p>
        </w:tc>
        <w:tc>
          <w:tcPr>
            <w:tcW w:w="2124" w:type="dxa"/>
            <w:tcBorders>
              <w:top w:val="single" w:sz="4" w:space="0" w:color="auto"/>
              <w:left w:val="nil"/>
              <w:bottom w:val="single" w:sz="4" w:space="0" w:color="auto"/>
              <w:right w:val="nil"/>
            </w:tcBorders>
            <w:vAlign w:val="center"/>
          </w:tcPr>
          <w:p w14:paraId="0EFCCFB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27.3%</w:t>
            </w:r>
          </w:p>
        </w:tc>
      </w:tr>
      <w:tr w:rsidR="0039059E" w:rsidRPr="00F44B56" w14:paraId="7B48962F" w14:textId="77777777" w:rsidTr="000E7012">
        <w:trPr>
          <w:trHeight w:val="486"/>
        </w:trPr>
        <w:tc>
          <w:tcPr>
            <w:tcW w:w="2123" w:type="dxa"/>
            <w:vMerge w:val="restart"/>
            <w:tcBorders>
              <w:top w:val="single" w:sz="4" w:space="0" w:color="auto"/>
              <w:left w:val="nil"/>
              <w:bottom w:val="nil"/>
              <w:right w:val="nil"/>
            </w:tcBorders>
            <w:vAlign w:val="center"/>
          </w:tcPr>
          <w:p w14:paraId="243D8AF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Las promociones de precios de los productos saludables influyen significativamente en mi decisión de comprarlos en lugar de las alternativas convencionales.</w:t>
            </w:r>
          </w:p>
        </w:tc>
        <w:tc>
          <w:tcPr>
            <w:tcW w:w="2123" w:type="dxa"/>
            <w:tcBorders>
              <w:top w:val="single" w:sz="4" w:space="0" w:color="auto"/>
              <w:left w:val="nil"/>
              <w:bottom w:val="single" w:sz="4" w:space="0" w:color="auto"/>
              <w:right w:val="nil"/>
            </w:tcBorders>
            <w:vAlign w:val="center"/>
          </w:tcPr>
          <w:p w14:paraId="6808B769"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3171324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57</w:t>
            </w:r>
          </w:p>
        </w:tc>
        <w:tc>
          <w:tcPr>
            <w:tcW w:w="2124" w:type="dxa"/>
            <w:tcBorders>
              <w:top w:val="single" w:sz="4" w:space="0" w:color="auto"/>
              <w:left w:val="nil"/>
              <w:bottom w:val="single" w:sz="4" w:space="0" w:color="auto"/>
              <w:right w:val="nil"/>
            </w:tcBorders>
            <w:vAlign w:val="center"/>
          </w:tcPr>
          <w:p w14:paraId="5EA1ABC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38%</w:t>
            </w:r>
          </w:p>
        </w:tc>
      </w:tr>
      <w:tr w:rsidR="0039059E" w:rsidRPr="00F44B56" w14:paraId="55A43FEF" w14:textId="77777777" w:rsidTr="000E7012">
        <w:trPr>
          <w:trHeight w:val="406"/>
        </w:trPr>
        <w:tc>
          <w:tcPr>
            <w:tcW w:w="2123" w:type="dxa"/>
            <w:vMerge/>
            <w:tcBorders>
              <w:top w:val="nil"/>
              <w:left w:val="nil"/>
              <w:bottom w:val="nil"/>
              <w:right w:val="nil"/>
            </w:tcBorders>
            <w:vAlign w:val="center"/>
          </w:tcPr>
          <w:p w14:paraId="2AB68A8D"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7EE184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425C8C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52</w:t>
            </w:r>
          </w:p>
        </w:tc>
        <w:tc>
          <w:tcPr>
            <w:tcW w:w="2124" w:type="dxa"/>
            <w:tcBorders>
              <w:top w:val="single" w:sz="4" w:space="0" w:color="auto"/>
              <w:left w:val="nil"/>
              <w:bottom w:val="single" w:sz="4" w:space="0" w:color="auto"/>
              <w:right w:val="nil"/>
            </w:tcBorders>
            <w:vAlign w:val="center"/>
          </w:tcPr>
          <w:p w14:paraId="7893B56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34.7%</w:t>
            </w:r>
          </w:p>
        </w:tc>
      </w:tr>
      <w:tr w:rsidR="0039059E" w:rsidRPr="00F44B56" w14:paraId="76A7186C" w14:textId="77777777" w:rsidTr="000E7012">
        <w:tc>
          <w:tcPr>
            <w:tcW w:w="2123" w:type="dxa"/>
            <w:vMerge/>
            <w:tcBorders>
              <w:top w:val="nil"/>
              <w:left w:val="nil"/>
              <w:bottom w:val="single" w:sz="4" w:space="0" w:color="auto"/>
              <w:right w:val="nil"/>
            </w:tcBorders>
          </w:tcPr>
          <w:p w14:paraId="1935A126"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973E2C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2DD0D4E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40</w:t>
            </w:r>
          </w:p>
        </w:tc>
        <w:tc>
          <w:tcPr>
            <w:tcW w:w="2124" w:type="dxa"/>
            <w:tcBorders>
              <w:top w:val="single" w:sz="4" w:space="0" w:color="auto"/>
              <w:left w:val="nil"/>
              <w:bottom w:val="single" w:sz="4" w:space="0" w:color="auto"/>
              <w:right w:val="nil"/>
            </w:tcBorders>
            <w:vAlign w:val="center"/>
          </w:tcPr>
          <w:p w14:paraId="3F8544A4"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26.7%</w:t>
            </w:r>
          </w:p>
        </w:tc>
      </w:tr>
    </w:tbl>
    <w:p w14:paraId="02EB511E" w14:textId="77777777" w:rsidR="0039059E" w:rsidRDefault="0039059E" w:rsidP="00335146">
      <w:pPr>
        <w:jc w:val="both"/>
        <w:rPr>
          <w:rFonts w:ascii="Gill Sans" w:hAnsi="Gill Sans" w:cs="Gill Sans"/>
          <w:lang w:val="en-US"/>
        </w:rPr>
      </w:pPr>
    </w:p>
    <w:p w14:paraId="2F303FE3" w14:textId="718B2A86"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on how price influences the choice between healthy products.</w:t>
      </w:r>
    </w:p>
    <w:p w14:paraId="690FA73A" w14:textId="77777777" w:rsidR="00335146" w:rsidRDefault="00335146" w:rsidP="00335146">
      <w:pPr>
        <w:jc w:val="both"/>
        <w:rPr>
          <w:rFonts w:ascii="Gill Sans" w:hAnsi="Gill Sans" w:cs="Gill Sans"/>
          <w:lang w:val="en-US"/>
        </w:rPr>
      </w:pPr>
      <w:r w:rsidRPr="00335146">
        <w:rPr>
          <w:rFonts w:ascii="Gill Sans" w:hAnsi="Gill Sans" w:cs="Gill Sans"/>
          <w:lang w:val="en-US"/>
        </w:rPr>
        <w:t>Table 6 analyzes how price serves as a decisive factor when choosing between healthy products and their conventional alternatives. Although students view healthy products positively, they are cost-conscious and tend to compare different options before making a decision. Despite this consideration, there appears to be a certain degree of price inelasticity regarding healthy products, indicating that, although students are willing to pay more for these products, they do not accept excessive price increases. In other words, students show a willingness to pay a higher price for products they consider beneficial to their health, but this additional price must be reasonable and not too high compared to conventional products. This dynamic reflects a balance between perceived value and price sensitivity, where cost remains an important factor but is not the sole determinant. Therefore, Table 6 shows that price significantly influences choice, although the preference for health moderates this influence. Thus, students seek healthy options that are affordable and justify their financial investment.</w:t>
      </w:r>
    </w:p>
    <w:p w14:paraId="68140D28" w14:textId="77777777" w:rsidR="0039059E" w:rsidRDefault="0039059E" w:rsidP="00335146">
      <w:pPr>
        <w:jc w:val="both"/>
        <w:rPr>
          <w:rFonts w:ascii="Gill Sans" w:hAnsi="Gill Sans" w:cs="Gill Sans"/>
          <w:lang w:val="en-US"/>
        </w:rPr>
      </w:pPr>
    </w:p>
    <w:p w14:paraId="76D34A3D" w14:textId="77777777" w:rsidR="0039059E" w:rsidRPr="00335146" w:rsidRDefault="0039059E" w:rsidP="00335146">
      <w:pPr>
        <w:jc w:val="both"/>
        <w:rPr>
          <w:rFonts w:ascii="Gill Sans" w:hAnsi="Gill Sans" w:cs="Gill Sans"/>
          <w:lang w:val="en-US"/>
        </w:rPr>
      </w:pPr>
    </w:p>
    <w:p w14:paraId="188F4C04" w14:textId="77777777" w:rsidR="00335146" w:rsidRPr="0039059E" w:rsidRDefault="00335146" w:rsidP="00335146">
      <w:pPr>
        <w:jc w:val="both"/>
        <w:rPr>
          <w:rFonts w:ascii="Gill Sans" w:hAnsi="Gill Sans" w:cs="Gill Sans"/>
          <w:b/>
          <w:bCs/>
          <w:lang w:val="en-US"/>
        </w:rPr>
      </w:pPr>
      <w:r w:rsidRPr="0039059E">
        <w:rPr>
          <w:rFonts w:ascii="Gill Sans" w:hAnsi="Gill Sans" w:cs="Gill Sans"/>
          <w:b/>
          <w:bCs/>
          <w:lang w:val="en-US"/>
        </w:rPr>
        <w:lastRenderedPageBreak/>
        <w:t>Table 7</w:t>
      </w:r>
    </w:p>
    <w:p w14:paraId="4C63F72A"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Tolerance for Price Premiums and Differential Behavior by Healthy Product Category</w:t>
      </w:r>
    </w:p>
    <w:tbl>
      <w:tblPr>
        <w:tblStyle w:val="Tablaconcuadrcula"/>
        <w:tblW w:w="0" w:type="auto"/>
        <w:tblLook w:val="04A0" w:firstRow="1" w:lastRow="0" w:firstColumn="1" w:lastColumn="0" w:noHBand="0" w:noVBand="1"/>
      </w:tblPr>
      <w:tblGrid>
        <w:gridCol w:w="2123"/>
        <w:gridCol w:w="2123"/>
        <w:gridCol w:w="2124"/>
        <w:gridCol w:w="2124"/>
      </w:tblGrid>
      <w:tr w:rsidR="0039059E" w:rsidRPr="00F44B56" w14:paraId="5FD89E79" w14:textId="77777777" w:rsidTr="000E7012">
        <w:tc>
          <w:tcPr>
            <w:tcW w:w="2123" w:type="dxa"/>
            <w:tcBorders>
              <w:top w:val="single" w:sz="4" w:space="0" w:color="auto"/>
              <w:left w:val="nil"/>
              <w:bottom w:val="single" w:sz="4" w:space="0" w:color="auto"/>
              <w:right w:val="nil"/>
            </w:tcBorders>
          </w:tcPr>
          <w:p w14:paraId="6318BE5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VARIABLE</w:t>
            </w:r>
          </w:p>
        </w:tc>
        <w:tc>
          <w:tcPr>
            <w:tcW w:w="2123" w:type="dxa"/>
            <w:tcBorders>
              <w:top w:val="single" w:sz="4" w:space="0" w:color="auto"/>
              <w:left w:val="nil"/>
              <w:bottom w:val="single" w:sz="4" w:space="0" w:color="auto"/>
              <w:right w:val="nil"/>
            </w:tcBorders>
          </w:tcPr>
          <w:p w14:paraId="474A68B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DESCRIPCION</w:t>
            </w:r>
          </w:p>
        </w:tc>
        <w:tc>
          <w:tcPr>
            <w:tcW w:w="2124" w:type="dxa"/>
            <w:tcBorders>
              <w:top w:val="single" w:sz="4" w:space="0" w:color="auto"/>
              <w:left w:val="nil"/>
              <w:bottom w:val="single" w:sz="4" w:space="0" w:color="auto"/>
              <w:right w:val="nil"/>
            </w:tcBorders>
          </w:tcPr>
          <w:p w14:paraId="0CA02A4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FRECUENCIA</w:t>
            </w:r>
          </w:p>
        </w:tc>
        <w:tc>
          <w:tcPr>
            <w:tcW w:w="2124" w:type="dxa"/>
            <w:tcBorders>
              <w:top w:val="single" w:sz="4" w:space="0" w:color="auto"/>
              <w:left w:val="nil"/>
              <w:bottom w:val="single" w:sz="4" w:space="0" w:color="auto"/>
              <w:right w:val="nil"/>
            </w:tcBorders>
          </w:tcPr>
          <w:p w14:paraId="7782613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RESULTADOS</w:t>
            </w:r>
          </w:p>
        </w:tc>
      </w:tr>
      <w:tr w:rsidR="0039059E" w:rsidRPr="00F44B56" w14:paraId="70539C73" w14:textId="77777777" w:rsidTr="000E7012">
        <w:trPr>
          <w:trHeight w:val="470"/>
        </w:trPr>
        <w:tc>
          <w:tcPr>
            <w:tcW w:w="2123" w:type="dxa"/>
            <w:vMerge w:val="restart"/>
            <w:tcBorders>
              <w:top w:val="single" w:sz="4" w:space="0" w:color="auto"/>
              <w:left w:val="nil"/>
              <w:bottom w:val="nil"/>
              <w:right w:val="nil"/>
            </w:tcBorders>
            <w:vAlign w:val="center"/>
          </w:tcPr>
          <w:p w14:paraId="14446ED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Al comparar productos similares, puedo identificar un porcentaje específico de sobreprecio que estoy dispuesto a pagar por la opción más saludable.</w:t>
            </w:r>
          </w:p>
        </w:tc>
        <w:tc>
          <w:tcPr>
            <w:tcW w:w="2123" w:type="dxa"/>
            <w:tcBorders>
              <w:top w:val="single" w:sz="4" w:space="0" w:color="auto"/>
              <w:left w:val="nil"/>
              <w:bottom w:val="single" w:sz="4" w:space="0" w:color="auto"/>
              <w:right w:val="nil"/>
            </w:tcBorders>
            <w:vAlign w:val="center"/>
          </w:tcPr>
          <w:p w14:paraId="205CCA4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22C8EB0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55</w:t>
            </w:r>
          </w:p>
        </w:tc>
        <w:tc>
          <w:tcPr>
            <w:tcW w:w="2124" w:type="dxa"/>
            <w:tcBorders>
              <w:top w:val="single" w:sz="4" w:space="0" w:color="auto"/>
              <w:left w:val="nil"/>
              <w:bottom w:val="single" w:sz="4" w:space="0" w:color="auto"/>
              <w:right w:val="nil"/>
            </w:tcBorders>
            <w:vAlign w:val="center"/>
          </w:tcPr>
          <w:p w14:paraId="10ED07D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36.7%</w:t>
            </w:r>
          </w:p>
        </w:tc>
      </w:tr>
      <w:tr w:rsidR="0039059E" w:rsidRPr="00F44B56" w14:paraId="05BC3003" w14:textId="77777777" w:rsidTr="000E7012">
        <w:trPr>
          <w:trHeight w:val="420"/>
        </w:trPr>
        <w:tc>
          <w:tcPr>
            <w:tcW w:w="2123" w:type="dxa"/>
            <w:vMerge/>
            <w:tcBorders>
              <w:top w:val="nil"/>
              <w:left w:val="nil"/>
              <w:bottom w:val="nil"/>
              <w:right w:val="nil"/>
            </w:tcBorders>
            <w:vAlign w:val="center"/>
          </w:tcPr>
          <w:p w14:paraId="52A5C895"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3D0CF00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3461AFC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22A0968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3126F70A" w14:textId="77777777" w:rsidTr="000E7012">
        <w:tc>
          <w:tcPr>
            <w:tcW w:w="2123" w:type="dxa"/>
            <w:vMerge/>
            <w:tcBorders>
              <w:top w:val="nil"/>
              <w:left w:val="nil"/>
              <w:bottom w:val="single" w:sz="4" w:space="0" w:color="auto"/>
              <w:right w:val="nil"/>
            </w:tcBorders>
            <w:vAlign w:val="center"/>
          </w:tcPr>
          <w:p w14:paraId="1F8A8A94"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20F31F0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29FAA338"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w:t>
            </w:r>
          </w:p>
        </w:tc>
        <w:tc>
          <w:tcPr>
            <w:tcW w:w="2124" w:type="dxa"/>
            <w:tcBorders>
              <w:top w:val="single" w:sz="4" w:space="0" w:color="auto"/>
              <w:left w:val="nil"/>
              <w:bottom w:val="single" w:sz="4" w:space="0" w:color="auto"/>
              <w:right w:val="nil"/>
            </w:tcBorders>
            <w:vAlign w:val="center"/>
          </w:tcPr>
          <w:p w14:paraId="0F5453F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23.3%</w:t>
            </w:r>
          </w:p>
        </w:tc>
      </w:tr>
      <w:tr w:rsidR="0039059E" w:rsidRPr="00F44B56" w14:paraId="22CB256A" w14:textId="77777777" w:rsidTr="000E7012">
        <w:trPr>
          <w:trHeight w:val="433"/>
        </w:trPr>
        <w:tc>
          <w:tcPr>
            <w:tcW w:w="2123" w:type="dxa"/>
            <w:vMerge w:val="restart"/>
            <w:tcBorders>
              <w:top w:val="single" w:sz="4" w:space="0" w:color="auto"/>
              <w:left w:val="nil"/>
              <w:bottom w:val="nil"/>
              <w:right w:val="nil"/>
            </w:tcBorders>
            <w:vAlign w:val="center"/>
          </w:tcPr>
          <w:p w14:paraId="3EE0043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Mi respuesta a los cambios de precio difiere entre las categorías de productos saludables (por ejemplo, productos orgánicos frente a suplementos naturales). </w:t>
            </w:r>
          </w:p>
        </w:tc>
        <w:tc>
          <w:tcPr>
            <w:tcW w:w="2123" w:type="dxa"/>
            <w:tcBorders>
              <w:top w:val="single" w:sz="4" w:space="0" w:color="auto"/>
              <w:left w:val="nil"/>
              <w:bottom w:val="single" w:sz="4" w:space="0" w:color="auto"/>
              <w:right w:val="nil"/>
            </w:tcBorders>
            <w:vAlign w:val="center"/>
          </w:tcPr>
          <w:p w14:paraId="330E73B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4C79329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56</w:t>
            </w:r>
          </w:p>
        </w:tc>
        <w:tc>
          <w:tcPr>
            <w:tcW w:w="2124" w:type="dxa"/>
            <w:tcBorders>
              <w:top w:val="single" w:sz="4" w:space="0" w:color="auto"/>
              <w:left w:val="nil"/>
              <w:bottom w:val="single" w:sz="4" w:space="0" w:color="auto"/>
              <w:right w:val="nil"/>
            </w:tcBorders>
            <w:vAlign w:val="center"/>
          </w:tcPr>
          <w:p w14:paraId="60972DF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37.3%</w:t>
            </w:r>
          </w:p>
        </w:tc>
      </w:tr>
      <w:tr w:rsidR="0039059E" w:rsidRPr="00F44B56" w14:paraId="3552D898" w14:textId="77777777" w:rsidTr="000E7012">
        <w:trPr>
          <w:trHeight w:val="412"/>
        </w:trPr>
        <w:tc>
          <w:tcPr>
            <w:tcW w:w="2123" w:type="dxa"/>
            <w:vMerge/>
            <w:tcBorders>
              <w:top w:val="nil"/>
              <w:left w:val="nil"/>
              <w:bottom w:val="nil"/>
              <w:right w:val="nil"/>
            </w:tcBorders>
            <w:vAlign w:val="center"/>
          </w:tcPr>
          <w:p w14:paraId="66670E53"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1A9D768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25D99E0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52</w:t>
            </w:r>
          </w:p>
        </w:tc>
        <w:tc>
          <w:tcPr>
            <w:tcW w:w="2124" w:type="dxa"/>
            <w:tcBorders>
              <w:top w:val="single" w:sz="4" w:space="0" w:color="auto"/>
              <w:left w:val="nil"/>
              <w:bottom w:val="single" w:sz="4" w:space="0" w:color="auto"/>
              <w:right w:val="nil"/>
            </w:tcBorders>
            <w:vAlign w:val="center"/>
          </w:tcPr>
          <w:p w14:paraId="288FF26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34.7%</w:t>
            </w:r>
          </w:p>
        </w:tc>
      </w:tr>
      <w:tr w:rsidR="0039059E" w:rsidRPr="00F44B56" w14:paraId="3A8AA450" w14:textId="77777777" w:rsidTr="000E7012">
        <w:tc>
          <w:tcPr>
            <w:tcW w:w="2123" w:type="dxa"/>
            <w:vMerge/>
            <w:tcBorders>
              <w:top w:val="nil"/>
              <w:left w:val="nil"/>
              <w:bottom w:val="single" w:sz="4" w:space="0" w:color="auto"/>
              <w:right w:val="nil"/>
            </w:tcBorders>
          </w:tcPr>
          <w:p w14:paraId="464C1922"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706D05F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218BB68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39</w:t>
            </w:r>
          </w:p>
        </w:tc>
        <w:tc>
          <w:tcPr>
            <w:tcW w:w="2124" w:type="dxa"/>
            <w:tcBorders>
              <w:top w:val="single" w:sz="4" w:space="0" w:color="auto"/>
              <w:left w:val="nil"/>
              <w:bottom w:val="single" w:sz="4" w:space="0" w:color="auto"/>
              <w:right w:val="nil"/>
            </w:tcBorders>
            <w:vAlign w:val="center"/>
          </w:tcPr>
          <w:p w14:paraId="07E6C11A"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26%</w:t>
            </w:r>
          </w:p>
        </w:tc>
      </w:tr>
      <w:tr w:rsidR="0039059E" w:rsidRPr="00F44B56" w14:paraId="09E8457B" w14:textId="77777777" w:rsidTr="000E7012">
        <w:trPr>
          <w:trHeight w:val="424"/>
        </w:trPr>
        <w:tc>
          <w:tcPr>
            <w:tcW w:w="2123" w:type="dxa"/>
            <w:vMerge w:val="restart"/>
            <w:tcBorders>
              <w:top w:val="single" w:sz="4" w:space="0" w:color="auto"/>
              <w:left w:val="nil"/>
              <w:bottom w:val="nil"/>
              <w:right w:val="nil"/>
            </w:tcBorders>
            <w:vAlign w:val="center"/>
          </w:tcPr>
          <w:p w14:paraId="73CE6EC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Volvería a los productos convencionales si la diferencia de precio entre estos y las alternativas saludables fuera demasiado grande.</w:t>
            </w:r>
          </w:p>
        </w:tc>
        <w:tc>
          <w:tcPr>
            <w:tcW w:w="2123" w:type="dxa"/>
            <w:tcBorders>
              <w:top w:val="single" w:sz="4" w:space="0" w:color="auto"/>
              <w:left w:val="nil"/>
              <w:bottom w:val="single" w:sz="4" w:space="0" w:color="auto"/>
              <w:right w:val="nil"/>
            </w:tcBorders>
            <w:vAlign w:val="center"/>
          </w:tcPr>
          <w:p w14:paraId="517D6ADD"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5379898F"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53</w:t>
            </w:r>
          </w:p>
        </w:tc>
        <w:tc>
          <w:tcPr>
            <w:tcW w:w="2124" w:type="dxa"/>
            <w:tcBorders>
              <w:top w:val="single" w:sz="4" w:space="0" w:color="auto"/>
              <w:left w:val="nil"/>
              <w:bottom w:val="single" w:sz="4" w:space="0" w:color="auto"/>
              <w:right w:val="nil"/>
            </w:tcBorders>
            <w:vAlign w:val="center"/>
          </w:tcPr>
          <w:p w14:paraId="789F14A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35.3%</w:t>
            </w:r>
          </w:p>
        </w:tc>
      </w:tr>
      <w:tr w:rsidR="0039059E" w:rsidRPr="00F44B56" w14:paraId="4CD50F8F" w14:textId="77777777" w:rsidTr="000E7012">
        <w:tc>
          <w:tcPr>
            <w:tcW w:w="2123" w:type="dxa"/>
            <w:vMerge/>
            <w:tcBorders>
              <w:top w:val="nil"/>
              <w:left w:val="nil"/>
              <w:bottom w:val="nil"/>
              <w:right w:val="nil"/>
            </w:tcBorders>
            <w:vAlign w:val="center"/>
          </w:tcPr>
          <w:p w14:paraId="2EBE2812"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501410B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2CD1C540"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0688E56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31.3%</w:t>
            </w:r>
          </w:p>
        </w:tc>
      </w:tr>
      <w:tr w:rsidR="0039059E" w:rsidRPr="00F44B56" w14:paraId="66CE7155" w14:textId="77777777" w:rsidTr="000E7012">
        <w:tc>
          <w:tcPr>
            <w:tcW w:w="2123" w:type="dxa"/>
            <w:vMerge/>
            <w:tcBorders>
              <w:top w:val="nil"/>
              <w:left w:val="nil"/>
              <w:bottom w:val="single" w:sz="4" w:space="0" w:color="auto"/>
              <w:right w:val="nil"/>
            </w:tcBorders>
          </w:tcPr>
          <w:p w14:paraId="24C2BFCF"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5E45406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21C40E27"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47</w:t>
            </w:r>
          </w:p>
        </w:tc>
        <w:tc>
          <w:tcPr>
            <w:tcW w:w="2124" w:type="dxa"/>
            <w:tcBorders>
              <w:top w:val="single" w:sz="4" w:space="0" w:color="auto"/>
              <w:left w:val="nil"/>
              <w:bottom w:val="single" w:sz="4" w:space="0" w:color="auto"/>
              <w:right w:val="nil"/>
            </w:tcBorders>
            <w:vAlign w:val="center"/>
          </w:tcPr>
          <w:p w14:paraId="795FAF2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31.3%</w:t>
            </w:r>
          </w:p>
        </w:tc>
      </w:tr>
      <w:tr w:rsidR="0039059E" w:rsidRPr="00F44B56" w14:paraId="3ACFFD29" w14:textId="77777777" w:rsidTr="000E7012">
        <w:trPr>
          <w:trHeight w:val="552"/>
        </w:trPr>
        <w:tc>
          <w:tcPr>
            <w:tcW w:w="2123" w:type="dxa"/>
            <w:vMerge w:val="restart"/>
            <w:tcBorders>
              <w:top w:val="single" w:sz="4" w:space="0" w:color="auto"/>
              <w:left w:val="nil"/>
              <w:bottom w:val="nil"/>
              <w:right w:val="nil"/>
            </w:tcBorders>
            <w:vAlign w:val="center"/>
          </w:tcPr>
          <w:p w14:paraId="18DEBCBF" w14:textId="77777777" w:rsidR="0039059E" w:rsidRPr="00F44B56" w:rsidRDefault="0039059E" w:rsidP="000E7012">
            <w:pPr>
              <w:rPr>
                <w:rFonts w:ascii="Gill Sans" w:hAnsi="Gill Sans" w:cs="Gill Sans"/>
                <w:sz w:val="18"/>
                <w:szCs w:val="18"/>
              </w:rPr>
            </w:pPr>
            <w:bookmarkStart w:id="1" w:name="_Hlk207528003"/>
            <w:r w:rsidRPr="00F44B56">
              <w:rPr>
                <w:rFonts w:ascii="Gill Sans" w:hAnsi="Gill Sans" w:cs="Gill Sans" w:hint="cs"/>
                <w:sz w:val="18"/>
                <w:szCs w:val="18"/>
              </w:rPr>
              <w:t>Estoy dispuesto a pagar un precio más alto (por ejemplo: 9% de diferencia) por las versiones saludables de los productos que consumo con más frecuencia.</w:t>
            </w:r>
            <w:bookmarkEnd w:id="1"/>
          </w:p>
        </w:tc>
        <w:tc>
          <w:tcPr>
            <w:tcW w:w="2123" w:type="dxa"/>
            <w:tcBorders>
              <w:top w:val="single" w:sz="4" w:space="0" w:color="auto"/>
              <w:left w:val="nil"/>
              <w:bottom w:val="single" w:sz="4" w:space="0" w:color="auto"/>
              <w:right w:val="nil"/>
            </w:tcBorders>
            <w:vAlign w:val="center"/>
          </w:tcPr>
          <w:p w14:paraId="33FBB052"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De acuerdo.</w:t>
            </w:r>
          </w:p>
        </w:tc>
        <w:tc>
          <w:tcPr>
            <w:tcW w:w="2124" w:type="dxa"/>
            <w:tcBorders>
              <w:top w:val="single" w:sz="4" w:space="0" w:color="auto"/>
              <w:left w:val="nil"/>
              <w:bottom w:val="single" w:sz="4" w:space="0" w:color="auto"/>
              <w:right w:val="nil"/>
            </w:tcBorders>
            <w:vAlign w:val="center"/>
          </w:tcPr>
          <w:p w14:paraId="59A817D3"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63</w:t>
            </w:r>
          </w:p>
        </w:tc>
        <w:tc>
          <w:tcPr>
            <w:tcW w:w="2124" w:type="dxa"/>
            <w:tcBorders>
              <w:top w:val="single" w:sz="4" w:space="0" w:color="auto"/>
              <w:left w:val="nil"/>
              <w:bottom w:val="single" w:sz="4" w:space="0" w:color="auto"/>
              <w:right w:val="nil"/>
            </w:tcBorders>
            <w:vAlign w:val="center"/>
          </w:tcPr>
          <w:p w14:paraId="20A6D1EC"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r>
      <w:tr w:rsidR="0039059E" w:rsidRPr="00F44B56" w14:paraId="17B64C4F" w14:textId="77777777" w:rsidTr="000E7012">
        <w:tc>
          <w:tcPr>
            <w:tcW w:w="2123" w:type="dxa"/>
            <w:vMerge/>
            <w:tcBorders>
              <w:top w:val="nil"/>
              <w:left w:val="nil"/>
              <w:bottom w:val="nil"/>
              <w:right w:val="nil"/>
            </w:tcBorders>
            <w:vAlign w:val="center"/>
          </w:tcPr>
          <w:p w14:paraId="582FF119"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424138C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Ni de acuerdo ni en desacuerdo</w:t>
            </w:r>
          </w:p>
        </w:tc>
        <w:tc>
          <w:tcPr>
            <w:tcW w:w="2124" w:type="dxa"/>
            <w:tcBorders>
              <w:top w:val="single" w:sz="4" w:space="0" w:color="auto"/>
              <w:left w:val="nil"/>
              <w:bottom w:val="single" w:sz="4" w:space="0" w:color="auto"/>
              <w:right w:val="nil"/>
            </w:tcBorders>
            <w:vAlign w:val="center"/>
          </w:tcPr>
          <w:p w14:paraId="5B2CFFD1"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685ECB9E"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r w:rsidR="0039059E" w:rsidRPr="00F44B56" w14:paraId="4F8109D4" w14:textId="77777777" w:rsidTr="000E7012">
        <w:tc>
          <w:tcPr>
            <w:tcW w:w="2123" w:type="dxa"/>
            <w:vMerge/>
            <w:tcBorders>
              <w:top w:val="nil"/>
              <w:left w:val="nil"/>
              <w:bottom w:val="single" w:sz="4" w:space="0" w:color="auto"/>
              <w:right w:val="nil"/>
            </w:tcBorders>
          </w:tcPr>
          <w:p w14:paraId="479A395B" w14:textId="77777777" w:rsidR="0039059E" w:rsidRPr="00F44B56" w:rsidRDefault="0039059E" w:rsidP="000E7012">
            <w:pPr>
              <w:rPr>
                <w:rFonts w:ascii="Gill Sans" w:hAnsi="Gill Sans" w:cs="Gill Sans"/>
                <w:sz w:val="18"/>
                <w:szCs w:val="18"/>
              </w:rPr>
            </w:pPr>
          </w:p>
        </w:tc>
        <w:tc>
          <w:tcPr>
            <w:tcW w:w="2123" w:type="dxa"/>
            <w:tcBorders>
              <w:top w:val="single" w:sz="4" w:space="0" w:color="auto"/>
              <w:left w:val="nil"/>
              <w:bottom w:val="single" w:sz="4" w:space="0" w:color="auto"/>
              <w:right w:val="nil"/>
            </w:tcBorders>
            <w:vAlign w:val="center"/>
          </w:tcPr>
          <w:p w14:paraId="02973CEB"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Totalmente de acuerdo</w:t>
            </w:r>
          </w:p>
        </w:tc>
        <w:tc>
          <w:tcPr>
            <w:tcW w:w="2124" w:type="dxa"/>
            <w:tcBorders>
              <w:top w:val="single" w:sz="4" w:space="0" w:color="auto"/>
              <w:left w:val="nil"/>
              <w:bottom w:val="single" w:sz="4" w:space="0" w:color="auto"/>
              <w:right w:val="nil"/>
            </w:tcBorders>
            <w:vAlign w:val="center"/>
          </w:tcPr>
          <w:p w14:paraId="7F08A336"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42</w:t>
            </w:r>
          </w:p>
        </w:tc>
        <w:tc>
          <w:tcPr>
            <w:tcW w:w="2124" w:type="dxa"/>
            <w:tcBorders>
              <w:top w:val="single" w:sz="4" w:space="0" w:color="auto"/>
              <w:left w:val="nil"/>
              <w:bottom w:val="single" w:sz="4" w:space="0" w:color="auto"/>
              <w:right w:val="nil"/>
            </w:tcBorders>
            <w:vAlign w:val="center"/>
          </w:tcPr>
          <w:p w14:paraId="096A5665" w14:textId="77777777" w:rsidR="0039059E" w:rsidRPr="00F44B56" w:rsidRDefault="0039059E" w:rsidP="000E7012">
            <w:pPr>
              <w:rPr>
                <w:rFonts w:ascii="Gill Sans" w:hAnsi="Gill Sans" w:cs="Gill Sans"/>
                <w:sz w:val="18"/>
                <w:szCs w:val="18"/>
              </w:rPr>
            </w:pPr>
            <w:r w:rsidRPr="00F44B56">
              <w:rPr>
                <w:rFonts w:ascii="Gill Sans" w:hAnsi="Gill Sans" w:cs="Gill Sans" w:hint="cs"/>
                <w:sz w:val="18"/>
                <w:szCs w:val="18"/>
              </w:rPr>
              <w:t>28%</w:t>
            </w:r>
          </w:p>
        </w:tc>
      </w:tr>
    </w:tbl>
    <w:p w14:paraId="3A895505" w14:textId="77777777" w:rsidR="0039059E" w:rsidRDefault="0039059E" w:rsidP="00335146">
      <w:pPr>
        <w:jc w:val="both"/>
        <w:rPr>
          <w:rFonts w:ascii="Gill Sans" w:hAnsi="Gill Sans" w:cs="Gill Sans"/>
          <w:lang w:val="en-US"/>
        </w:rPr>
      </w:pPr>
    </w:p>
    <w:p w14:paraId="361F8AB3" w14:textId="77777777" w:rsidR="0039059E" w:rsidRDefault="0039059E" w:rsidP="00335146">
      <w:pPr>
        <w:jc w:val="both"/>
        <w:rPr>
          <w:rFonts w:ascii="Gill Sans" w:hAnsi="Gill Sans" w:cs="Gill Sans"/>
          <w:lang w:val="en-US"/>
        </w:rPr>
      </w:pPr>
    </w:p>
    <w:p w14:paraId="5B12BCF7" w14:textId="418F6B98" w:rsidR="00335146" w:rsidRPr="00335146" w:rsidRDefault="00335146" w:rsidP="00335146">
      <w:pPr>
        <w:jc w:val="both"/>
        <w:rPr>
          <w:rFonts w:ascii="Gill Sans" w:hAnsi="Gill Sans" w:cs="Gill Sans"/>
          <w:lang w:val="en-US"/>
        </w:rPr>
      </w:pPr>
      <w:r w:rsidRPr="00335146">
        <w:rPr>
          <w:rFonts w:ascii="Gill Sans" w:hAnsi="Gill Sans" w:cs="Gill Sans"/>
          <w:lang w:val="en-US"/>
        </w:rPr>
        <w:t>Note: Results regarding how much more students are willing to pay for healthier products.</w:t>
      </w:r>
    </w:p>
    <w:p w14:paraId="78E83EC5" w14:textId="77777777" w:rsidR="00335146" w:rsidRPr="00335146" w:rsidRDefault="00335146" w:rsidP="00335146">
      <w:pPr>
        <w:jc w:val="both"/>
        <w:rPr>
          <w:rFonts w:ascii="Gill Sans" w:hAnsi="Gill Sans" w:cs="Gill Sans"/>
          <w:lang w:val="en-US"/>
        </w:rPr>
      </w:pPr>
      <w:r w:rsidRPr="00335146">
        <w:rPr>
          <w:rFonts w:ascii="Gill Sans" w:hAnsi="Gill Sans" w:cs="Gill Sans"/>
          <w:lang w:val="en-US"/>
        </w:rPr>
        <w:t>Table 7 examines students’ willingness to pay a 9% premium for healthy products, as well as whether this tolerance varies by product type. The results show that, although students are willing to accept a small price increase, this tolerance is limited and depends on the product category in question. There is a specific price threshold beyond which students would prefer to choose conventional options, as they consider that the additional cost does not justify the perceived benefit. Furthermore, the willingness to pay a higher price is concentrated primarily on those healthy products that are consumed most frequently, indicating that familiarity and consumption habits influence the acceptance of the price premium. Therefore, Table 7 reveals that, although there is a willingness to pay slightly more for healthy products, this flexibility is moderate and is influenced by both the type of product and the frequency of consumption. In summary, tolerance for the price premium is a key factor that can limit the choice of healthy products over their conventional alternatives.</w:t>
      </w:r>
    </w:p>
    <w:p w14:paraId="40B98C54" w14:textId="77777777" w:rsidR="00A34B5E" w:rsidRPr="00A34B5E" w:rsidRDefault="00A34B5E" w:rsidP="00A34B5E">
      <w:pPr>
        <w:jc w:val="both"/>
        <w:rPr>
          <w:rFonts w:ascii="Gill Sans" w:hAnsi="Gill Sans" w:cs="Gill Sans"/>
          <w:lang w:val="en-US"/>
        </w:rPr>
      </w:pPr>
    </w:p>
    <w:p w14:paraId="451D9AC0" w14:textId="5717B22D" w:rsidR="00484AFB" w:rsidRPr="001B79F3" w:rsidRDefault="00000000" w:rsidP="004A428A">
      <w:pPr>
        <w:ind w:right="-7"/>
        <w:jc w:val="both"/>
        <w:rPr>
          <w:rFonts w:ascii="Gill Sans MT" w:hAnsi="Gill Sans MT"/>
          <w:b/>
          <w:bCs/>
          <w:lang w:eastAsia="en-US"/>
        </w:rPr>
      </w:pPr>
      <w:r w:rsidRPr="001B79F3">
        <w:rPr>
          <w:rFonts w:ascii="Gill Sans MT" w:hAnsi="Gill Sans MT"/>
          <w:b/>
          <w:bCs/>
          <w:lang w:eastAsia="en-US"/>
        </w:rPr>
        <w:t>CONCLUSIONS</w:t>
      </w:r>
    </w:p>
    <w:p w14:paraId="74635B2B" w14:textId="77777777" w:rsidR="0039059E" w:rsidRPr="001B79F3" w:rsidRDefault="0039059E" w:rsidP="0039059E">
      <w:pPr>
        <w:jc w:val="both"/>
        <w:rPr>
          <w:rFonts w:ascii="Gill Sans" w:hAnsi="Gill Sans" w:cs="Gill Sans"/>
        </w:rPr>
      </w:pPr>
      <w:r w:rsidRPr="001B79F3">
        <w:rPr>
          <w:rFonts w:ascii="Gill Sans" w:hAnsi="Gill Sans" w:cs="Gill Sans" w:hint="cs"/>
        </w:rPr>
        <w:t xml:space="preserve">En relación al estudio de las preferencias de los jóvenes y su disposición a pagar por productos saludables, se evidencian que </w:t>
      </w:r>
      <w:bookmarkStart w:id="2" w:name="_Hlk208306420"/>
      <w:r w:rsidRPr="001B79F3">
        <w:rPr>
          <w:rFonts w:ascii="Gill Sans" w:hAnsi="Gill Sans" w:cs="Gill Sans" w:hint="cs"/>
        </w:rPr>
        <w:t xml:space="preserve">las decisiones de compra están fuertemente influenciadas por elementos visuales e informativos presentes en los productos. Los estudiantes demuestran una clara tendencia a asociar la salud de los alimentos con características específicas como la información nutricional detallada, el diseño del empaque, y atributos como la ausencia de conservantes o el origen local y vegetal. </w:t>
      </w:r>
      <w:bookmarkEnd w:id="2"/>
      <w:r w:rsidRPr="001B79F3">
        <w:rPr>
          <w:rFonts w:ascii="Gill Sans" w:hAnsi="Gill Sans" w:cs="Gill Sans" w:hint="cs"/>
        </w:rPr>
        <w:t>Estos hallazgos revelan que los jóvenes han desarrollado criterios específicos para identificar productos saludables, utilizando tanto señales externas como características intrínsecas del producto para tomar sus decisiones de consumo.</w:t>
      </w:r>
    </w:p>
    <w:p w14:paraId="22AD72E4" w14:textId="77777777" w:rsidR="0039059E" w:rsidRPr="001B79F3" w:rsidRDefault="0039059E" w:rsidP="0039059E">
      <w:pPr>
        <w:jc w:val="both"/>
        <w:rPr>
          <w:rFonts w:ascii="Gill Sans" w:hAnsi="Gill Sans" w:cs="Gill Sans"/>
        </w:rPr>
      </w:pPr>
      <w:r w:rsidRPr="001B79F3">
        <w:rPr>
          <w:rFonts w:ascii="Gill Sans" w:hAnsi="Gill Sans" w:cs="Gill Sans" w:hint="cs"/>
        </w:rPr>
        <w:t xml:space="preserve">Respecto a la aceptación de alimentos saludables en la dieta de los jóvenes, los resultados muestran que </w:t>
      </w:r>
      <w:bookmarkStart w:id="3" w:name="_Hlk208306468"/>
      <w:r w:rsidRPr="001B79F3">
        <w:rPr>
          <w:rFonts w:ascii="Gill Sans" w:hAnsi="Gill Sans" w:cs="Gill Sans" w:hint="cs"/>
        </w:rPr>
        <w:t>existe una clara disposición a incorporar estos productos en su alimentación diaria. Esta aceptación está motivada principalmente por los beneficios percibidos para su salud personal, el nivel de conocimiento nutricional que poseen, y sus objetivos individuales de bienestar.</w:t>
      </w:r>
      <w:bookmarkEnd w:id="3"/>
      <w:r w:rsidRPr="001B79F3">
        <w:rPr>
          <w:rFonts w:ascii="Gill Sans" w:hAnsi="Gill Sans" w:cs="Gill Sans" w:hint="cs"/>
        </w:rPr>
        <w:t xml:space="preserve"> Además, se identificó que los procesos de decisión de estos estudiantes están respaldados por factores cognitivos importantes, como su comprensión de la relación entre precio y beneficios para la salud, el conocimiento sobre enfermedades crónicas, y su nivel de educación en temas de salud, lo que demuestra un enfoque reflexivo hacia sus elecciones alimentarias.</w:t>
      </w:r>
    </w:p>
    <w:p w14:paraId="731D4873" w14:textId="77777777" w:rsidR="0039059E" w:rsidRPr="001B79F3" w:rsidRDefault="0039059E" w:rsidP="0039059E">
      <w:pPr>
        <w:jc w:val="both"/>
        <w:rPr>
          <w:rFonts w:ascii="Gill Sans" w:hAnsi="Gill Sans" w:cs="Gill Sans"/>
        </w:rPr>
      </w:pPr>
      <w:r w:rsidRPr="001B79F3">
        <w:rPr>
          <w:rFonts w:ascii="Gill Sans" w:hAnsi="Gill Sans" w:cs="Gill Sans" w:hint="cs"/>
        </w:rPr>
        <w:t xml:space="preserve">En cuanto a los factores que determinan la disposición a pagar por productos alimenticios saludables, se encontró que, </w:t>
      </w:r>
      <w:bookmarkStart w:id="4" w:name="_Hlk208306506"/>
      <w:r w:rsidRPr="001B79F3">
        <w:rPr>
          <w:rFonts w:ascii="Gill Sans" w:hAnsi="Gill Sans" w:cs="Gill Sans" w:hint="cs"/>
        </w:rPr>
        <w:t>aunque los estudiantes valoran positivamente estos productos, el precio sigue siendo un factor determinante en sus decisiones de compra. Los jóvenes muestran una disposición moderada a pagar un sobreprecio por productos saludables, específicamente tolerando diferencias de 20 a 30 centavos adicionales, pero esta tolerancia tiene límites claros y varía según el tipo de producto.</w:t>
      </w:r>
      <w:bookmarkEnd w:id="4"/>
      <w:r w:rsidRPr="001B79F3">
        <w:rPr>
          <w:rFonts w:ascii="Gill Sans" w:hAnsi="Gill Sans" w:cs="Gill Sans" w:hint="cs"/>
        </w:rPr>
        <w:t xml:space="preserve"> Es notable que la disposición a pagar más es mayor para aquellos productos saludables que consumen con mayor frecuencia, lo que sugiere que los estudiantes priorizan la inversión en salud para los alimentos que forman parte regular de su dieta, manteniendo un equilibrio entre sus aspiraciones de bienestar y sus limitaciones económicas.</w:t>
      </w:r>
    </w:p>
    <w:p w14:paraId="7B8061AC" w14:textId="77777777" w:rsidR="004A428A" w:rsidRPr="0039059E" w:rsidRDefault="004A428A" w:rsidP="004A428A">
      <w:pPr>
        <w:jc w:val="both"/>
        <w:rPr>
          <w:rFonts w:ascii="Gill Sans" w:hAnsi="Gill Sans" w:cs="Gill Sans"/>
        </w:rPr>
      </w:pPr>
    </w:p>
    <w:p w14:paraId="26D380B5" w14:textId="008DF89A" w:rsidR="00477CD8" w:rsidRPr="001B79F3" w:rsidRDefault="00000000">
      <w:pPr>
        <w:ind w:right="-7"/>
        <w:jc w:val="both"/>
        <w:rPr>
          <w:rFonts w:ascii="Gill Sans MT" w:hAnsi="Gill Sans MT"/>
          <w:b/>
          <w:bCs/>
          <w:lang w:val="en-US" w:eastAsia="en-US"/>
        </w:rPr>
      </w:pPr>
      <w:r w:rsidRPr="001B79F3">
        <w:rPr>
          <w:rFonts w:ascii="Gill Sans MT" w:hAnsi="Gill Sans MT"/>
          <w:b/>
          <w:bCs/>
          <w:lang w:val="en-US" w:eastAsia="en-US"/>
        </w:rPr>
        <w:t>R</w:t>
      </w:r>
      <w:r w:rsidR="00F57C73" w:rsidRPr="001B79F3">
        <w:rPr>
          <w:rFonts w:ascii="Gill Sans MT" w:hAnsi="Gill Sans MT"/>
          <w:b/>
          <w:bCs/>
          <w:lang w:val="en-US" w:eastAsia="en-US"/>
        </w:rPr>
        <w:t>EFERENC</w:t>
      </w:r>
      <w:r w:rsidR="00EE42F4" w:rsidRPr="001B79F3">
        <w:rPr>
          <w:rFonts w:ascii="Gill Sans MT" w:hAnsi="Gill Sans MT"/>
          <w:b/>
          <w:bCs/>
          <w:lang w:val="en-US" w:eastAsia="en-US"/>
        </w:rPr>
        <w:t>E</w:t>
      </w:r>
      <w:r w:rsidR="00F57C73" w:rsidRPr="001B79F3">
        <w:rPr>
          <w:rFonts w:ascii="Gill Sans MT" w:hAnsi="Gill Sans MT"/>
          <w:b/>
          <w:bCs/>
          <w:lang w:val="en-US" w:eastAsia="en-US"/>
        </w:rPr>
        <w:t>S</w:t>
      </w:r>
    </w:p>
    <w:sdt>
      <w:sdtPr>
        <w:rPr>
          <w:rFonts w:ascii="Gill Sans" w:hAnsi="Gill Sans" w:cs="Gill Sans" w:hint="cs"/>
          <w:color w:val="000000"/>
        </w:rPr>
        <w:tag w:val="MENDELEY_BIBLIOGRAPHY"/>
        <w:id w:val="1048109139"/>
        <w:placeholder>
          <w:docPart w:val="D7A76C9EA2D17046AD13E3F83FEB2B68"/>
        </w:placeholder>
      </w:sdtPr>
      <w:sdtEndPr>
        <w:rPr>
          <w:rFonts w:hint="default"/>
          <w:color w:val="auto"/>
        </w:rPr>
      </w:sdtEndPr>
      <w:sdtContent>
        <w:p w14:paraId="2DE90A42" w14:textId="77777777" w:rsidR="0039059E" w:rsidRPr="0039059E" w:rsidRDefault="0039059E" w:rsidP="001B79F3">
          <w:pPr>
            <w:autoSpaceDE w:val="0"/>
            <w:autoSpaceDN w:val="0"/>
            <w:ind w:hanging="480"/>
            <w:jc w:val="both"/>
            <w:rPr>
              <w:rFonts w:ascii="Gill Sans" w:hAnsi="Gill Sans" w:cs="Gill Sans"/>
              <w:lang w:val="en-US"/>
            </w:rPr>
          </w:pPr>
          <w:proofErr w:type="spellStart"/>
          <w:r w:rsidRPr="0039059E">
            <w:rPr>
              <w:rFonts w:ascii="Gill Sans" w:hAnsi="Gill Sans" w:cs="Gill Sans" w:hint="cs"/>
              <w:lang w:val="pt-PT"/>
            </w:rPr>
            <w:t>Agyemang</w:t>
          </w:r>
          <w:proofErr w:type="spellEnd"/>
          <w:r w:rsidRPr="0039059E">
            <w:rPr>
              <w:rFonts w:ascii="Gill Sans" w:hAnsi="Gill Sans" w:cs="Gill Sans" w:hint="cs"/>
              <w:lang w:val="pt-PT"/>
            </w:rPr>
            <w:t xml:space="preserve">, P., </w:t>
          </w:r>
          <w:proofErr w:type="spellStart"/>
          <w:r w:rsidRPr="0039059E">
            <w:rPr>
              <w:rFonts w:ascii="Gill Sans" w:hAnsi="Gill Sans" w:cs="Gill Sans" w:hint="cs"/>
              <w:lang w:val="pt-PT"/>
            </w:rPr>
            <w:t>Kwofie</w:t>
          </w:r>
          <w:proofErr w:type="spellEnd"/>
          <w:r w:rsidRPr="0039059E">
            <w:rPr>
              <w:rFonts w:ascii="Gill Sans" w:hAnsi="Gill Sans" w:cs="Gill Sans" w:hint="cs"/>
              <w:lang w:val="pt-PT"/>
            </w:rPr>
            <w:t xml:space="preserve">, E. M., </w:t>
          </w:r>
          <w:proofErr w:type="spellStart"/>
          <w:r w:rsidRPr="0039059E">
            <w:rPr>
              <w:rFonts w:ascii="Gill Sans" w:hAnsi="Gill Sans" w:cs="Gill Sans" w:hint="cs"/>
              <w:lang w:val="pt-PT"/>
            </w:rPr>
            <w:t>Baum</w:t>
          </w:r>
          <w:proofErr w:type="spellEnd"/>
          <w:r w:rsidRPr="0039059E">
            <w:rPr>
              <w:rFonts w:ascii="Gill Sans" w:hAnsi="Gill Sans" w:cs="Gill Sans" w:hint="cs"/>
              <w:lang w:val="pt-PT"/>
            </w:rPr>
            <w:t xml:space="preserve">, J. I., &amp; Wang, D. (2025). </w:t>
          </w:r>
          <w:r w:rsidRPr="0039059E">
            <w:rPr>
              <w:rFonts w:ascii="Gill Sans" w:hAnsi="Gill Sans" w:cs="Gill Sans" w:hint="cs"/>
              <w:lang w:val="en-US"/>
            </w:rPr>
            <w:t xml:space="preserve">Insights from consumers’ exposure to environmental nutrition information on a dashboard for improving sustainable healthy food choices. Cleaner and Responsible Consumption, 16. </w:t>
          </w:r>
          <w:hyperlink r:id="rId8" w:history="1">
            <w:r w:rsidRPr="0039059E">
              <w:rPr>
                <w:rStyle w:val="Hipervnculo"/>
                <w:rFonts w:ascii="Gill Sans" w:hAnsi="Gill Sans" w:cs="Gill Sans" w:hint="cs"/>
                <w:color w:val="auto"/>
                <w:u w:val="none"/>
                <w:lang w:val="en-US"/>
              </w:rPr>
              <w:t>https://doi.org/10.1016/j.clrc.2024.100241</w:t>
            </w:r>
          </w:hyperlink>
        </w:p>
        <w:p w14:paraId="5CAD3693"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Ali, T., &amp; Ali, J. (2020). Factors affecting the consumers’ willingness to pay for health and wellness food products. Journal of Agriculture and Food Research, 2. </w:t>
          </w:r>
          <w:hyperlink r:id="rId9" w:history="1">
            <w:r w:rsidRPr="0039059E">
              <w:rPr>
                <w:rStyle w:val="Hipervnculo"/>
                <w:rFonts w:ascii="Gill Sans" w:hAnsi="Gill Sans" w:cs="Gill Sans" w:hint="cs"/>
                <w:color w:val="auto"/>
                <w:u w:val="none"/>
                <w:lang w:val="en-US"/>
              </w:rPr>
              <w:t>https://doi.org/10.1016/j.jafr.2020.100076</w:t>
            </w:r>
          </w:hyperlink>
        </w:p>
        <w:p w14:paraId="17DC2775"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lastRenderedPageBreak/>
            <w:t xml:space="preserve">Annunziata, A., &amp; Vecchio, R. (2011). Functional foods development in the European market: A consumer perspective. Journal of Functional Foods, 3(3), 223–228. </w:t>
          </w:r>
          <w:hyperlink r:id="rId10" w:history="1">
            <w:r w:rsidRPr="0039059E">
              <w:rPr>
                <w:rStyle w:val="Hipervnculo"/>
                <w:rFonts w:ascii="Gill Sans" w:hAnsi="Gill Sans" w:cs="Gill Sans" w:hint="cs"/>
                <w:color w:val="auto"/>
                <w:u w:val="none"/>
                <w:lang w:val="en-US"/>
              </w:rPr>
              <w:t>https://doi.org/10.1016/j.jff.2011.03.011</w:t>
            </w:r>
          </w:hyperlink>
        </w:p>
        <w:p w14:paraId="538F0F13" w14:textId="77777777" w:rsidR="0039059E" w:rsidRPr="0039059E" w:rsidRDefault="0039059E" w:rsidP="001B79F3">
          <w:pPr>
            <w:autoSpaceDE w:val="0"/>
            <w:autoSpaceDN w:val="0"/>
            <w:ind w:hanging="480"/>
            <w:jc w:val="both"/>
            <w:rPr>
              <w:rFonts w:ascii="Gill Sans" w:hAnsi="Gill Sans" w:cs="Gill Sans"/>
              <w:lang w:val="en-US"/>
            </w:rPr>
          </w:pPr>
          <w:proofErr w:type="spellStart"/>
          <w:r w:rsidRPr="0039059E">
            <w:rPr>
              <w:rFonts w:ascii="Gill Sans" w:hAnsi="Gill Sans" w:cs="Gill Sans" w:hint="cs"/>
              <w:lang w:val="en-US"/>
            </w:rPr>
            <w:t>Ardebili</w:t>
          </w:r>
          <w:proofErr w:type="spellEnd"/>
          <w:r w:rsidRPr="0039059E">
            <w:rPr>
              <w:rFonts w:ascii="Gill Sans" w:hAnsi="Gill Sans" w:cs="Gill Sans" w:hint="cs"/>
              <w:lang w:val="en-US"/>
            </w:rPr>
            <w:t xml:space="preserve">, A. T., &amp; Rickertsen, K. (2024). A sustainable and healthy diet: Personality, motives, and </w:t>
          </w:r>
          <w:proofErr w:type="spellStart"/>
          <w:r w:rsidRPr="0039059E">
            <w:rPr>
              <w:rFonts w:ascii="Gill Sans" w:hAnsi="Gill Sans" w:cs="Gill Sans" w:hint="cs"/>
              <w:lang w:val="en-US"/>
            </w:rPr>
            <w:t>sociodemographics</w:t>
          </w:r>
          <w:proofErr w:type="spellEnd"/>
          <w:r w:rsidRPr="0039059E">
            <w:rPr>
              <w:rFonts w:ascii="Gill Sans" w:hAnsi="Gill Sans" w:cs="Gill Sans" w:hint="cs"/>
              <w:lang w:val="en-US"/>
            </w:rPr>
            <w:t xml:space="preserve">. </w:t>
          </w:r>
          <w:proofErr w:type="spellStart"/>
          <w:r w:rsidRPr="0039059E">
            <w:rPr>
              <w:rFonts w:ascii="Gill Sans" w:hAnsi="Gill Sans" w:cs="Gill Sans" w:hint="cs"/>
              <w:lang w:val="en-US"/>
            </w:rPr>
            <w:t>Heliyon</w:t>
          </w:r>
          <w:proofErr w:type="spellEnd"/>
          <w:r w:rsidRPr="0039059E">
            <w:rPr>
              <w:rFonts w:ascii="Gill Sans" w:hAnsi="Gill Sans" w:cs="Gill Sans" w:hint="cs"/>
              <w:lang w:val="en-US"/>
            </w:rPr>
            <w:t>, 10(10). https://doi.org/10.1016/j.heliyon.2024.e31326</w:t>
          </w:r>
        </w:p>
        <w:p w14:paraId="3242243E" w14:textId="77777777" w:rsidR="0039059E" w:rsidRPr="0039059E" w:rsidRDefault="0039059E" w:rsidP="001B79F3">
          <w:pPr>
            <w:autoSpaceDE w:val="0"/>
            <w:autoSpaceDN w:val="0"/>
            <w:ind w:hanging="480"/>
            <w:jc w:val="both"/>
            <w:rPr>
              <w:rFonts w:ascii="Gill Sans" w:hAnsi="Gill Sans" w:cs="Gill Sans"/>
              <w:lang w:val="en-US"/>
            </w:rPr>
          </w:pPr>
          <w:proofErr w:type="spellStart"/>
          <w:r w:rsidRPr="0039059E">
            <w:rPr>
              <w:rFonts w:ascii="Gill Sans" w:hAnsi="Gill Sans" w:cs="Gill Sans" w:hint="cs"/>
              <w:lang w:val="en-US"/>
            </w:rPr>
            <w:t>Ashaolu</w:t>
          </w:r>
          <w:proofErr w:type="spellEnd"/>
          <w:r w:rsidRPr="0039059E">
            <w:rPr>
              <w:rFonts w:ascii="Gill Sans" w:hAnsi="Gill Sans" w:cs="Gill Sans" w:hint="cs"/>
              <w:lang w:val="en-US"/>
            </w:rPr>
            <w:t xml:space="preserve">, T. J., &amp; </w:t>
          </w:r>
          <w:proofErr w:type="spellStart"/>
          <w:r w:rsidRPr="0039059E">
            <w:rPr>
              <w:rFonts w:ascii="Gill Sans" w:hAnsi="Gill Sans" w:cs="Gill Sans" w:hint="cs"/>
              <w:lang w:val="en-US"/>
            </w:rPr>
            <w:t>Ashaolu</w:t>
          </w:r>
          <w:proofErr w:type="spellEnd"/>
          <w:r w:rsidRPr="0039059E">
            <w:rPr>
              <w:rFonts w:ascii="Gill Sans" w:hAnsi="Gill Sans" w:cs="Gill Sans" w:hint="cs"/>
              <w:lang w:val="en-US"/>
            </w:rPr>
            <w:t>, J. O. (2020). Perspectives on the trends, challenges and benefits of green, smart and organic (GSO) foods. In International Journal of Gastronomy and Food Science (Vol. 22). AZTI-</w:t>
          </w:r>
          <w:proofErr w:type="spellStart"/>
          <w:r w:rsidRPr="0039059E">
            <w:rPr>
              <w:rFonts w:ascii="Gill Sans" w:hAnsi="Gill Sans" w:cs="Gill Sans" w:hint="cs"/>
              <w:lang w:val="en-US"/>
            </w:rPr>
            <w:t>Tecnalia</w:t>
          </w:r>
          <w:proofErr w:type="spellEnd"/>
          <w:r w:rsidRPr="0039059E">
            <w:rPr>
              <w:rFonts w:ascii="Gill Sans" w:hAnsi="Gill Sans" w:cs="Gill Sans" w:hint="cs"/>
              <w:lang w:val="en-US"/>
            </w:rPr>
            <w:t xml:space="preserve">. </w:t>
          </w:r>
          <w:hyperlink r:id="rId11" w:history="1">
            <w:r w:rsidRPr="0039059E">
              <w:rPr>
                <w:rStyle w:val="Hipervnculo"/>
                <w:rFonts w:ascii="Gill Sans" w:hAnsi="Gill Sans" w:cs="Gill Sans" w:hint="cs"/>
                <w:color w:val="auto"/>
                <w:u w:val="none"/>
                <w:lang w:val="en-US"/>
              </w:rPr>
              <w:t>https://doi.org/10.1016/j.ijgfs.2020.100273</w:t>
            </w:r>
          </w:hyperlink>
        </w:p>
        <w:p w14:paraId="62E32F3D"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Beltramo, B., Hung, Y., Urlings, M., Bast, A., </w:t>
          </w:r>
          <w:proofErr w:type="spellStart"/>
          <w:r w:rsidRPr="0039059E">
            <w:rPr>
              <w:rFonts w:ascii="Gill Sans" w:hAnsi="Gill Sans" w:cs="Gill Sans" w:hint="cs"/>
              <w:lang w:val="en-US"/>
            </w:rPr>
            <w:t>Diliën</w:t>
          </w:r>
          <w:proofErr w:type="spellEnd"/>
          <w:r w:rsidRPr="0039059E">
            <w:rPr>
              <w:rFonts w:ascii="Gill Sans" w:hAnsi="Gill Sans" w:cs="Gill Sans" w:hint="cs"/>
              <w:lang w:val="en-US"/>
            </w:rPr>
            <w:t xml:space="preserve">, H., &amp; de Boer, A. (2025). The role of health, nutrition, and origin claims in shaping consumers’ choice for fresh produce: A choice experiment on white Asparagus. Food Quality and Preference, 133. </w:t>
          </w:r>
          <w:hyperlink r:id="rId12" w:history="1">
            <w:r w:rsidRPr="0039059E">
              <w:rPr>
                <w:rStyle w:val="Hipervnculo"/>
                <w:rFonts w:ascii="Gill Sans" w:hAnsi="Gill Sans" w:cs="Gill Sans" w:hint="cs"/>
                <w:color w:val="auto"/>
                <w:u w:val="none"/>
                <w:lang w:val="en-US"/>
              </w:rPr>
              <w:t>https://doi.org/10.1016/j.foodqual.2025.105615</w:t>
            </w:r>
          </w:hyperlink>
        </w:p>
        <w:p w14:paraId="27B3BD70" w14:textId="77777777" w:rsidR="0039059E" w:rsidRPr="0039059E" w:rsidRDefault="0039059E" w:rsidP="001B79F3">
          <w:pPr>
            <w:autoSpaceDE w:val="0"/>
            <w:autoSpaceDN w:val="0"/>
            <w:ind w:hanging="480"/>
            <w:jc w:val="both"/>
            <w:rPr>
              <w:rFonts w:ascii="Gill Sans" w:hAnsi="Gill Sans" w:cs="Gill Sans"/>
              <w:lang w:val="en-US"/>
            </w:rPr>
          </w:pPr>
          <w:r w:rsidRPr="001B79F3">
            <w:rPr>
              <w:rFonts w:ascii="Gill Sans" w:hAnsi="Gill Sans" w:cs="Gill Sans" w:hint="cs"/>
              <w:lang w:val="en-US"/>
            </w:rPr>
            <w:t xml:space="preserve">Caso, G., </w:t>
          </w:r>
          <w:proofErr w:type="spellStart"/>
          <w:r w:rsidRPr="001B79F3">
            <w:rPr>
              <w:rFonts w:ascii="Gill Sans" w:hAnsi="Gill Sans" w:cs="Gill Sans" w:hint="cs"/>
              <w:lang w:val="en-US"/>
            </w:rPr>
            <w:t>Trinchera</w:t>
          </w:r>
          <w:proofErr w:type="spellEnd"/>
          <w:r w:rsidRPr="001B79F3">
            <w:rPr>
              <w:rFonts w:ascii="Gill Sans" w:hAnsi="Gill Sans" w:cs="Gill Sans" w:hint="cs"/>
              <w:lang w:val="en-US"/>
            </w:rPr>
            <w:t xml:space="preserve">, L., Romano, R., &amp; Vecchio, R. (2025). </w:t>
          </w:r>
          <w:r w:rsidRPr="0039059E">
            <w:rPr>
              <w:rFonts w:ascii="Gill Sans" w:hAnsi="Gill Sans" w:cs="Gill Sans" w:hint="cs"/>
              <w:lang w:val="en-US"/>
            </w:rPr>
            <w:t xml:space="preserve">Towards a healthy and sustainable diet: exploring factors influencing red meat consumption among excessive consumers in Western countries. Food Quality and Preference, 133. </w:t>
          </w:r>
          <w:hyperlink r:id="rId13" w:history="1">
            <w:r w:rsidRPr="0039059E">
              <w:rPr>
                <w:rStyle w:val="Hipervnculo"/>
                <w:rFonts w:ascii="Gill Sans" w:hAnsi="Gill Sans" w:cs="Gill Sans" w:hint="cs"/>
                <w:color w:val="auto"/>
                <w:u w:val="none"/>
                <w:lang w:val="en-US"/>
              </w:rPr>
              <w:t>https://doi.org/10.1016/j.foodqual.2025.105610</w:t>
            </w:r>
          </w:hyperlink>
        </w:p>
        <w:p w14:paraId="390A14B6"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Dabo, A. S., &amp; Charles, A. L. (2025a). Consumers knowledge and awareness to willingly consume functional foods in the Gambia. Cleaner and Responsible Consumption, 18. </w:t>
          </w:r>
          <w:hyperlink r:id="rId14" w:history="1">
            <w:r w:rsidRPr="0039059E">
              <w:rPr>
                <w:rStyle w:val="Hipervnculo"/>
                <w:rFonts w:ascii="Gill Sans" w:hAnsi="Gill Sans" w:cs="Gill Sans" w:hint="cs"/>
                <w:color w:val="auto"/>
                <w:u w:val="none"/>
                <w:lang w:val="en-US"/>
              </w:rPr>
              <w:t>https://doi.org/10.1016/j.clrc.2025.100300</w:t>
            </w:r>
          </w:hyperlink>
        </w:p>
        <w:p w14:paraId="1348DCF7" w14:textId="77777777" w:rsidR="0039059E" w:rsidRPr="0039059E" w:rsidRDefault="0039059E" w:rsidP="001B79F3">
          <w:pPr>
            <w:autoSpaceDE w:val="0"/>
            <w:autoSpaceDN w:val="0"/>
            <w:ind w:hanging="480"/>
            <w:jc w:val="both"/>
            <w:rPr>
              <w:rFonts w:ascii="Gill Sans" w:hAnsi="Gill Sans" w:cs="Gill Sans"/>
              <w:lang w:val="en-US"/>
            </w:rPr>
          </w:pPr>
          <w:r w:rsidRPr="001B79F3">
            <w:rPr>
              <w:rFonts w:ascii="Gill Sans" w:hAnsi="Gill Sans" w:cs="Gill Sans" w:hint="cs"/>
              <w:lang w:val="en-US"/>
            </w:rPr>
            <w:t xml:space="preserve">Dabo, A. S., &amp; Charles, A. L. (2025b). </w:t>
          </w:r>
          <w:r w:rsidRPr="0039059E">
            <w:rPr>
              <w:rFonts w:ascii="Gill Sans" w:hAnsi="Gill Sans" w:cs="Gill Sans" w:hint="cs"/>
              <w:lang w:val="en-US"/>
            </w:rPr>
            <w:t>Consumers knowledge and awareness to willingly consume functional foods in the Gambia. Cleaner and Responsible Consumption, 18. https://doi.org/10.1016/j.clrc.2025.100300</w:t>
          </w:r>
        </w:p>
        <w:p w14:paraId="6D5198F0"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Esfandiari Bahraseman, S., </w:t>
          </w:r>
          <w:proofErr w:type="spellStart"/>
          <w:r w:rsidRPr="0039059E">
            <w:rPr>
              <w:rFonts w:ascii="Gill Sans" w:hAnsi="Gill Sans" w:cs="Gill Sans" w:hint="cs"/>
              <w:lang w:val="en-US"/>
            </w:rPr>
            <w:t>Dashtabi</w:t>
          </w:r>
          <w:proofErr w:type="spellEnd"/>
          <w:r w:rsidRPr="0039059E">
            <w:rPr>
              <w:rFonts w:ascii="Gill Sans" w:hAnsi="Gill Sans" w:cs="Gill Sans" w:hint="cs"/>
              <w:lang w:val="en-US"/>
            </w:rPr>
            <w:t xml:space="preserve">, M. D., </w:t>
          </w:r>
          <w:proofErr w:type="spellStart"/>
          <w:r w:rsidRPr="0039059E">
            <w:rPr>
              <w:rFonts w:ascii="Gill Sans" w:hAnsi="Gill Sans" w:cs="Gill Sans" w:hint="cs"/>
              <w:lang w:val="en-US"/>
            </w:rPr>
            <w:t>Firoozzare</w:t>
          </w:r>
          <w:proofErr w:type="spellEnd"/>
          <w:r w:rsidRPr="0039059E">
            <w:rPr>
              <w:rFonts w:ascii="Gill Sans" w:hAnsi="Gill Sans" w:cs="Gill Sans" w:hint="cs"/>
              <w:lang w:val="en-US"/>
            </w:rPr>
            <w:t xml:space="preserve">, A., Boccia, F., </w:t>
          </w:r>
          <w:proofErr w:type="spellStart"/>
          <w:r w:rsidRPr="0039059E">
            <w:rPr>
              <w:rFonts w:ascii="Gill Sans" w:hAnsi="Gill Sans" w:cs="Gill Sans" w:hint="cs"/>
              <w:lang w:val="en-US"/>
            </w:rPr>
            <w:t>Pakook</w:t>
          </w:r>
          <w:proofErr w:type="spellEnd"/>
          <w:r w:rsidRPr="0039059E">
            <w:rPr>
              <w:rFonts w:ascii="Gill Sans" w:hAnsi="Gill Sans" w:cs="Gill Sans" w:hint="cs"/>
              <w:lang w:val="en-US"/>
            </w:rPr>
            <w:t xml:space="preserve">, S., &amp; Covino, D. (2025). Understanding consumer behavior in the choice of healthy food retail outlets: An examination of information types and the interplay between institutional trust and social recommendations. Economic Analysis and Policy, 86, 2070–2094. </w:t>
          </w:r>
          <w:hyperlink r:id="rId15" w:history="1">
            <w:r w:rsidRPr="0039059E">
              <w:rPr>
                <w:rStyle w:val="Hipervnculo"/>
                <w:rFonts w:ascii="Gill Sans" w:hAnsi="Gill Sans" w:cs="Gill Sans" w:hint="cs"/>
                <w:color w:val="auto"/>
                <w:u w:val="none"/>
                <w:lang w:val="en-US"/>
              </w:rPr>
              <w:t>https://doi.org/10.1016/j.eap.2025.05.035</w:t>
            </w:r>
          </w:hyperlink>
        </w:p>
        <w:p w14:paraId="6E652BA4" w14:textId="77777777" w:rsidR="0039059E" w:rsidRPr="0039059E" w:rsidRDefault="0039059E" w:rsidP="001B79F3">
          <w:pPr>
            <w:autoSpaceDE w:val="0"/>
            <w:autoSpaceDN w:val="0"/>
            <w:ind w:hanging="480"/>
            <w:jc w:val="both"/>
            <w:rPr>
              <w:rFonts w:ascii="Gill Sans" w:hAnsi="Gill Sans" w:cs="Gill Sans"/>
              <w:lang w:val="en-US"/>
            </w:rPr>
          </w:pPr>
        </w:p>
        <w:p w14:paraId="3A48278B"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Kita, A., Rune, C. J. B., Giacalone, D., Noguera-Artiaga, L., Carbonell-</w:t>
          </w:r>
          <w:proofErr w:type="spellStart"/>
          <w:r w:rsidRPr="0039059E">
            <w:rPr>
              <w:rFonts w:ascii="Gill Sans" w:hAnsi="Gill Sans" w:cs="Gill Sans" w:hint="cs"/>
              <w:lang w:val="en-US"/>
            </w:rPr>
            <w:t>Barrachina</w:t>
          </w:r>
          <w:proofErr w:type="spellEnd"/>
          <w:r w:rsidRPr="0039059E">
            <w:rPr>
              <w:rFonts w:ascii="Gill Sans" w:hAnsi="Gill Sans" w:cs="Gill Sans" w:hint="cs"/>
              <w:lang w:val="en-US"/>
            </w:rPr>
            <w:t xml:space="preserve">, A., </w:t>
          </w:r>
          <w:proofErr w:type="spellStart"/>
          <w:r w:rsidRPr="0039059E">
            <w:rPr>
              <w:rFonts w:ascii="Gill Sans" w:hAnsi="Gill Sans" w:cs="Gill Sans" w:hint="cs"/>
              <w:lang w:val="en-US"/>
            </w:rPr>
            <w:t>Nemś</w:t>
          </w:r>
          <w:proofErr w:type="spellEnd"/>
          <w:r w:rsidRPr="0039059E">
            <w:rPr>
              <w:rFonts w:ascii="Gill Sans" w:hAnsi="Gill Sans" w:cs="Gill Sans" w:hint="cs"/>
              <w:lang w:val="en-US"/>
            </w:rPr>
            <w:t xml:space="preserve">, A., </w:t>
          </w:r>
          <w:proofErr w:type="spellStart"/>
          <w:r w:rsidRPr="0039059E">
            <w:rPr>
              <w:rFonts w:ascii="Gill Sans" w:hAnsi="Gill Sans" w:cs="Gill Sans" w:hint="cs"/>
              <w:lang w:val="en-US"/>
            </w:rPr>
            <w:t>Kolniak-Ostek</w:t>
          </w:r>
          <w:proofErr w:type="spellEnd"/>
          <w:r w:rsidRPr="0039059E">
            <w:rPr>
              <w:rFonts w:ascii="Gill Sans" w:hAnsi="Gill Sans" w:cs="Gill Sans" w:hint="cs"/>
              <w:lang w:val="en-US"/>
            </w:rPr>
            <w:t>, J., Michalska-</w:t>
          </w:r>
          <w:proofErr w:type="spellStart"/>
          <w:r w:rsidRPr="0039059E">
            <w:rPr>
              <w:rFonts w:ascii="Gill Sans" w:hAnsi="Gill Sans" w:cs="Gill Sans" w:hint="cs"/>
              <w:lang w:val="en-US"/>
            </w:rPr>
            <w:t>Ciechanowska</w:t>
          </w:r>
          <w:proofErr w:type="spellEnd"/>
          <w:r w:rsidRPr="0039059E">
            <w:rPr>
              <w:rFonts w:ascii="Gill Sans" w:hAnsi="Gill Sans" w:cs="Gill Sans" w:hint="cs"/>
              <w:lang w:val="en-US"/>
            </w:rPr>
            <w:t>, A., Mora, M., Romeo-Arroyo, E., &amp; Vázquez-Araújo, L. (2024). Understanding consumer perception of a new product including apple pomace: The role of health, sustainability, and culinary engagement. International Journal of Gastronomy and Food Science, 38. https://doi.org/10.1016/j.ijgfs.2024.101037</w:t>
          </w:r>
        </w:p>
        <w:p w14:paraId="7D21C7CC"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Klotz, M., Krpan, D., Lohmann, P. M., Galizzi, M. M., &amp; Reisch, L. A. (2025). Stop, think, buy: An online </w:t>
          </w:r>
          <w:proofErr w:type="spellStart"/>
          <w:r w:rsidRPr="0039059E">
            <w:rPr>
              <w:rFonts w:ascii="Gill Sans" w:hAnsi="Gill Sans" w:cs="Gill Sans" w:hint="cs"/>
              <w:lang w:val="en-US"/>
            </w:rPr>
            <w:t>randomised</w:t>
          </w:r>
          <w:proofErr w:type="spellEnd"/>
          <w:r w:rsidRPr="0039059E">
            <w:rPr>
              <w:rFonts w:ascii="Gill Sans" w:hAnsi="Gill Sans" w:cs="Gill Sans" w:hint="cs"/>
              <w:lang w:val="en-US"/>
            </w:rPr>
            <w:t xml:space="preserve"> controlled experiment comparing the effects of traffic light nutritional labelling and price promotion on steering consumer food choice. Appetite, 211. </w:t>
          </w:r>
          <w:hyperlink r:id="rId16" w:history="1">
            <w:r w:rsidRPr="0039059E">
              <w:rPr>
                <w:rStyle w:val="Hipervnculo"/>
                <w:rFonts w:ascii="Gill Sans" w:hAnsi="Gill Sans" w:cs="Gill Sans" w:hint="cs"/>
                <w:color w:val="auto"/>
                <w:u w:val="none"/>
                <w:lang w:val="en-US"/>
              </w:rPr>
              <w:t>https://doi.org/10.1016/j.appet.2025.108005</w:t>
            </w:r>
          </w:hyperlink>
        </w:p>
        <w:p w14:paraId="1BA9E4FC" w14:textId="77777777" w:rsidR="0039059E" w:rsidRPr="0039059E" w:rsidRDefault="0039059E" w:rsidP="001B79F3">
          <w:pPr>
            <w:autoSpaceDE w:val="0"/>
            <w:autoSpaceDN w:val="0"/>
            <w:ind w:hanging="480"/>
            <w:jc w:val="both"/>
            <w:rPr>
              <w:rFonts w:ascii="Gill Sans" w:hAnsi="Gill Sans" w:cs="Gill Sans"/>
              <w:lang w:val="en-US"/>
            </w:rPr>
          </w:pPr>
          <w:r w:rsidRPr="001B79F3">
            <w:rPr>
              <w:rFonts w:ascii="Gill Sans" w:hAnsi="Gill Sans" w:cs="Gill Sans" w:hint="cs"/>
              <w:lang w:val="en-US"/>
            </w:rPr>
            <w:t xml:space="preserve">Küster-Boluda, I., &amp; Vidal-Capilla, I. (2017). </w:t>
          </w:r>
          <w:r w:rsidRPr="0039059E">
            <w:rPr>
              <w:rFonts w:ascii="Gill Sans" w:hAnsi="Gill Sans" w:cs="Gill Sans" w:hint="cs"/>
              <w:lang w:val="en-US"/>
            </w:rPr>
            <w:t xml:space="preserve">Consumer attitudes in the election of functional foods. Spanish Journal of Marketing - ESIC, 21, 65–79. </w:t>
          </w:r>
          <w:hyperlink r:id="rId17" w:history="1">
            <w:r w:rsidRPr="0039059E">
              <w:rPr>
                <w:rStyle w:val="Hipervnculo"/>
                <w:rFonts w:ascii="Gill Sans" w:hAnsi="Gill Sans" w:cs="Gill Sans" w:hint="cs"/>
                <w:color w:val="auto"/>
                <w:u w:val="none"/>
                <w:lang w:val="en-US"/>
              </w:rPr>
              <w:t>https://doi.org/10.1016/j.sjme.2017.05.002</w:t>
            </w:r>
          </w:hyperlink>
        </w:p>
        <w:p w14:paraId="3E237B90"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lastRenderedPageBreak/>
            <w:t>Lu, J., Liu, Y., Jing, Q., &amp; Zhang, W. (2025). Chinese consumers’ perceptions, attitude, and purchase intention of organic products. Appetite, 214. https://doi.org/10.1016/j.appet.2025.108142</w:t>
          </w:r>
        </w:p>
        <w:p w14:paraId="72482983"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Modica, F., Sgroi, F., Baviera-Puig, A., &amp; Sciortino, C. (2025). Main factors influencing consumer willingness to pay for sustainable wine. International Journal of Gastronomy and Food Science, 39. https://doi.org/10.1016/j.ijgfs.2025.101131</w:t>
          </w:r>
        </w:p>
        <w:p w14:paraId="556D7D80" w14:textId="77777777" w:rsidR="0039059E" w:rsidRPr="0039059E" w:rsidRDefault="0039059E" w:rsidP="001B79F3">
          <w:pPr>
            <w:autoSpaceDE w:val="0"/>
            <w:autoSpaceDN w:val="0"/>
            <w:ind w:hanging="480"/>
            <w:jc w:val="both"/>
            <w:rPr>
              <w:rFonts w:ascii="Gill Sans" w:hAnsi="Gill Sans" w:cs="Gill Sans"/>
            </w:rPr>
          </w:pPr>
          <w:proofErr w:type="spellStart"/>
          <w:r w:rsidRPr="0039059E">
            <w:rPr>
              <w:rFonts w:ascii="Gill Sans" w:hAnsi="Gill Sans" w:cs="Gill Sans" w:hint="cs"/>
              <w:lang w:val="en-US"/>
            </w:rPr>
            <w:t>Munaqib</w:t>
          </w:r>
          <w:proofErr w:type="spellEnd"/>
          <w:r w:rsidRPr="0039059E">
            <w:rPr>
              <w:rFonts w:ascii="Gill Sans" w:hAnsi="Gill Sans" w:cs="Gill Sans" w:hint="cs"/>
              <w:lang w:val="en-US"/>
            </w:rPr>
            <w:t xml:space="preserve">, P., Darzi, M. A., Bhat, S. A., Islam, S. B., &amp; Mushtaq, N. (2025). Understanding Millennials and Gen Z’s organic food buying intentions: A mediation and segmentation study. </w:t>
          </w:r>
          <w:r w:rsidRPr="0039059E">
            <w:rPr>
              <w:rFonts w:ascii="Gill Sans" w:hAnsi="Gill Sans" w:cs="Gill Sans" w:hint="cs"/>
            </w:rPr>
            <w:t xml:space="preserve">Cleaner Waste Systems, 11. </w:t>
          </w:r>
          <w:r w:rsidRPr="0039059E">
            <w:rPr>
              <w:rFonts w:ascii="Gill Sans" w:hAnsi="Gill Sans" w:cs="Gill Sans" w:hint="cs"/>
            </w:rPr>
            <w:fldChar w:fldCharType="begin"/>
          </w:r>
          <w:r w:rsidRPr="0039059E">
            <w:rPr>
              <w:rFonts w:ascii="Gill Sans" w:hAnsi="Gill Sans" w:cs="Gill Sans" w:hint="cs"/>
            </w:rPr>
            <w:instrText>HYPERLINK "https://doi.org/10.1016/j.clwas.2025.100294"</w:instrText>
          </w:r>
          <w:r w:rsidRPr="0039059E">
            <w:rPr>
              <w:rFonts w:ascii="Gill Sans" w:hAnsi="Gill Sans" w:cs="Gill Sans" w:hint="cs"/>
            </w:rPr>
          </w:r>
          <w:r w:rsidRPr="0039059E">
            <w:rPr>
              <w:rFonts w:ascii="Gill Sans" w:hAnsi="Gill Sans" w:cs="Gill Sans" w:hint="cs"/>
            </w:rPr>
            <w:fldChar w:fldCharType="separate"/>
          </w:r>
          <w:r w:rsidRPr="0039059E">
            <w:rPr>
              <w:rStyle w:val="Hipervnculo"/>
              <w:rFonts w:ascii="Gill Sans" w:hAnsi="Gill Sans" w:cs="Gill Sans" w:hint="cs"/>
              <w:color w:val="auto"/>
              <w:u w:val="none"/>
            </w:rPr>
            <w:t>https://doi.org/10.1016/j.clwas.2025.100294</w:t>
          </w:r>
          <w:r w:rsidRPr="0039059E">
            <w:rPr>
              <w:rFonts w:ascii="Gill Sans" w:hAnsi="Gill Sans" w:cs="Gill Sans" w:hint="cs"/>
            </w:rPr>
            <w:fldChar w:fldCharType="end"/>
          </w:r>
        </w:p>
        <w:p w14:paraId="63B3D6B0"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rPr>
            <w:t xml:space="preserve">Mustapa, M. A. C., Baba, Y., Kallas, Z., Garcia, M. B., Gonzalez, C. E., &amp; López-Mas, L. (2025). </w:t>
          </w:r>
          <w:r w:rsidRPr="0039059E">
            <w:rPr>
              <w:rFonts w:ascii="Gill Sans" w:hAnsi="Gill Sans" w:cs="Gill Sans" w:hint="cs"/>
              <w:lang w:val="en-US"/>
            </w:rPr>
            <w:t xml:space="preserve">Consumers’ attitudes toward and willingness to pay for organic aquaculture products: Evidence from Spain. Aquaculture, 599. </w:t>
          </w:r>
          <w:hyperlink r:id="rId18" w:history="1">
            <w:r w:rsidRPr="0039059E">
              <w:rPr>
                <w:rStyle w:val="Hipervnculo"/>
                <w:rFonts w:ascii="Gill Sans" w:hAnsi="Gill Sans" w:cs="Gill Sans" w:hint="cs"/>
                <w:color w:val="auto"/>
                <w:u w:val="none"/>
                <w:lang w:val="en-US"/>
              </w:rPr>
              <w:t>https://doi.org/10.1016/j.aquaculture.2025.742126</w:t>
            </w:r>
          </w:hyperlink>
        </w:p>
        <w:p w14:paraId="043F05E1"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 xml:space="preserve">Naughton, P., Schramm, J. B., &amp; </w:t>
          </w:r>
          <w:proofErr w:type="spellStart"/>
          <w:r w:rsidRPr="0039059E">
            <w:rPr>
              <w:rFonts w:ascii="Gill Sans" w:hAnsi="Gill Sans" w:cs="Gill Sans" w:hint="cs"/>
              <w:lang w:val="en-US"/>
            </w:rPr>
            <w:t>Lichters</w:t>
          </w:r>
          <w:proofErr w:type="spellEnd"/>
          <w:r w:rsidRPr="0039059E">
            <w:rPr>
              <w:rFonts w:ascii="Gill Sans" w:hAnsi="Gill Sans" w:cs="Gill Sans" w:hint="cs"/>
              <w:lang w:val="en-US"/>
            </w:rPr>
            <w:t>, M. (2025). The eyes eat first: Improving consumer acceptance of plant-based meat alternatives by adjusting front-of-pack labeling. Food Quality and Preference, 131. https://doi.org/10.1016/j.foodqual.2025.105567</w:t>
          </w:r>
        </w:p>
        <w:p w14:paraId="00D141EA" w14:textId="77777777" w:rsidR="0039059E" w:rsidRPr="0039059E" w:rsidRDefault="0039059E" w:rsidP="001B79F3">
          <w:pPr>
            <w:autoSpaceDE w:val="0"/>
            <w:autoSpaceDN w:val="0"/>
            <w:ind w:hanging="480"/>
            <w:jc w:val="both"/>
            <w:rPr>
              <w:rFonts w:ascii="Gill Sans" w:hAnsi="Gill Sans" w:cs="Gill Sans"/>
              <w:lang w:val="pt-PT"/>
            </w:rPr>
          </w:pPr>
          <w:r w:rsidRPr="0039059E">
            <w:rPr>
              <w:rFonts w:ascii="Gill Sans" w:hAnsi="Gill Sans" w:cs="Gill Sans" w:hint="cs"/>
              <w:lang w:val="en-US"/>
            </w:rPr>
            <w:t xml:space="preserve">Nazzaro, C., Stanco, M., Uliano, A., &amp; Marotta, G. (2024). Consumers’ acceptance and willingness to pay for enriched foods: Evidence from a choice experiment in Italy. </w:t>
          </w:r>
          <w:r w:rsidRPr="0039059E">
            <w:rPr>
              <w:rFonts w:ascii="Gill Sans" w:hAnsi="Gill Sans" w:cs="Gill Sans" w:hint="cs"/>
              <w:lang w:val="pt-PT"/>
            </w:rPr>
            <w:t xml:space="preserve">Future Foods, 10. </w:t>
          </w:r>
          <w:hyperlink r:id="rId19" w:history="1">
            <w:r w:rsidRPr="0039059E">
              <w:rPr>
                <w:rStyle w:val="Hipervnculo"/>
                <w:rFonts w:ascii="Gill Sans" w:hAnsi="Gill Sans" w:cs="Gill Sans" w:hint="cs"/>
                <w:color w:val="auto"/>
                <w:u w:val="none"/>
                <w:lang w:val="pt-PT"/>
              </w:rPr>
              <w:t>https://doi.org/10.1016/j.fufo.2024.100405</w:t>
            </w:r>
          </w:hyperlink>
        </w:p>
        <w:p w14:paraId="76DA51D2"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pt-PT"/>
            </w:rPr>
            <w:t xml:space="preserve">Pinto, V. R. A., Campos, R. F. de A., Rocha, F., </w:t>
          </w:r>
          <w:proofErr w:type="spellStart"/>
          <w:r w:rsidRPr="0039059E">
            <w:rPr>
              <w:rFonts w:ascii="Gill Sans" w:hAnsi="Gill Sans" w:cs="Gill Sans" w:hint="cs"/>
              <w:lang w:val="pt-PT"/>
            </w:rPr>
            <w:t>Emmendoerfer</w:t>
          </w:r>
          <w:proofErr w:type="spellEnd"/>
          <w:r w:rsidRPr="0039059E">
            <w:rPr>
              <w:rFonts w:ascii="Gill Sans" w:hAnsi="Gill Sans" w:cs="Gill Sans" w:hint="cs"/>
              <w:lang w:val="pt-PT"/>
            </w:rPr>
            <w:t xml:space="preserve">, M. L., Vidigal, M. C. T. R., da Rocha, S. J. S. S., </w:t>
          </w:r>
          <w:proofErr w:type="spellStart"/>
          <w:r w:rsidRPr="0039059E">
            <w:rPr>
              <w:rFonts w:ascii="Gill Sans" w:hAnsi="Gill Sans" w:cs="Gill Sans" w:hint="cs"/>
              <w:lang w:val="pt-PT"/>
            </w:rPr>
            <w:t>Lucia</w:t>
          </w:r>
          <w:proofErr w:type="spellEnd"/>
          <w:r w:rsidRPr="0039059E">
            <w:rPr>
              <w:rFonts w:ascii="Gill Sans" w:hAnsi="Gill Sans" w:cs="Gill Sans" w:hint="cs"/>
              <w:lang w:val="pt-PT"/>
            </w:rPr>
            <w:t xml:space="preserve">, S. M. </w:t>
          </w:r>
          <w:proofErr w:type="spellStart"/>
          <w:r w:rsidRPr="0039059E">
            <w:rPr>
              <w:rFonts w:ascii="Gill Sans" w:hAnsi="Gill Sans" w:cs="Gill Sans" w:hint="cs"/>
              <w:lang w:val="pt-PT"/>
            </w:rPr>
            <w:t>Della</w:t>
          </w:r>
          <w:proofErr w:type="spellEnd"/>
          <w:r w:rsidRPr="0039059E">
            <w:rPr>
              <w:rFonts w:ascii="Gill Sans" w:hAnsi="Gill Sans" w:cs="Gill Sans" w:hint="cs"/>
              <w:lang w:val="pt-PT"/>
            </w:rPr>
            <w:t xml:space="preserve">, Cabral, L. F. M., de Carvalho, A. F., &amp; Perrone, Í. T. (2021). </w:t>
          </w:r>
          <w:r w:rsidRPr="0039059E">
            <w:rPr>
              <w:rFonts w:ascii="Gill Sans" w:hAnsi="Gill Sans" w:cs="Gill Sans" w:hint="cs"/>
              <w:lang w:val="en-US"/>
            </w:rPr>
            <w:t>Perceived healthiness of foods: A systematic review of qualitative studies. In Future Foods (Vol. 4). Elsevier B.V. https://doi.org/10.1016/j.fufo.2021.100056</w:t>
          </w:r>
        </w:p>
        <w:p w14:paraId="3081DEC0" w14:textId="77777777" w:rsidR="0039059E" w:rsidRPr="0039059E" w:rsidRDefault="0039059E" w:rsidP="001B79F3">
          <w:pPr>
            <w:autoSpaceDE w:val="0"/>
            <w:autoSpaceDN w:val="0"/>
            <w:ind w:hanging="480"/>
            <w:jc w:val="both"/>
            <w:rPr>
              <w:rFonts w:ascii="Gill Sans" w:hAnsi="Gill Sans" w:cs="Gill Sans"/>
              <w:lang w:val="en-US"/>
            </w:rPr>
          </w:pPr>
          <w:proofErr w:type="spellStart"/>
          <w:r w:rsidRPr="0039059E">
            <w:rPr>
              <w:rFonts w:ascii="Gill Sans" w:hAnsi="Gill Sans" w:cs="Gill Sans" w:hint="cs"/>
              <w:lang w:val="pt-PT"/>
            </w:rPr>
            <w:t>Proi</w:t>
          </w:r>
          <w:proofErr w:type="spellEnd"/>
          <w:r w:rsidRPr="0039059E">
            <w:rPr>
              <w:rFonts w:ascii="Gill Sans" w:hAnsi="Gill Sans" w:cs="Gill Sans" w:hint="cs"/>
              <w:lang w:val="pt-PT"/>
            </w:rPr>
            <w:t xml:space="preserve">, M., </w:t>
          </w:r>
          <w:proofErr w:type="spellStart"/>
          <w:r w:rsidRPr="0039059E">
            <w:rPr>
              <w:rFonts w:ascii="Gill Sans" w:hAnsi="Gill Sans" w:cs="Gill Sans" w:hint="cs"/>
              <w:lang w:val="pt-PT"/>
            </w:rPr>
            <w:t>Monhoussou</w:t>
          </w:r>
          <w:proofErr w:type="spellEnd"/>
          <w:r w:rsidRPr="0039059E">
            <w:rPr>
              <w:rFonts w:ascii="Gill Sans" w:hAnsi="Gill Sans" w:cs="Gill Sans" w:hint="cs"/>
              <w:lang w:val="pt-PT"/>
            </w:rPr>
            <w:t xml:space="preserve">, B. B., </w:t>
          </w:r>
          <w:proofErr w:type="spellStart"/>
          <w:r w:rsidRPr="0039059E">
            <w:rPr>
              <w:rFonts w:ascii="Gill Sans" w:hAnsi="Gill Sans" w:cs="Gill Sans" w:hint="cs"/>
              <w:lang w:val="pt-PT"/>
            </w:rPr>
            <w:t>Pesce</w:t>
          </w:r>
          <w:proofErr w:type="spellEnd"/>
          <w:r w:rsidRPr="0039059E">
            <w:rPr>
              <w:rFonts w:ascii="Gill Sans" w:hAnsi="Gill Sans" w:cs="Gill Sans" w:hint="cs"/>
              <w:lang w:val="pt-PT"/>
            </w:rPr>
            <w:t xml:space="preserve">, A., </w:t>
          </w:r>
          <w:proofErr w:type="spellStart"/>
          <w:r w:rsidRPr="0039059E">
            <w:rPr>
              <w:rFonts w:ascii="Gill Sans" w:hAnsi="Gill Sans" w:cs="Gill Sans" w:hint="cs"/>
              <w:lang w:val="pt-PT"/>
            </w:rPr>
            <w:t>Hammoudi</w:t>
          </w:r>
          <w:proofErr w:type="spellEnd"/>
          <w:r w:rsidRPr="0039059E">
            <w:rPr>
              <w:rFonts w:ascii="Gill Sans" w:hAnsi="Gill Sans" w:cs="Gill Sans" w:hint="cs"/>
              <w:lang w:val="pt-PT"/>
            </w:rPr>
            <w:t xml:space="preserve">, A., &amp; Perito, M. A. (2025). </w:t>
          </w:r>
          <w:r w:rsidRPr="0039059E">
            <w:rPr>
              <w:rFonts w:ascii="Gill Sans" w:hAnsi="Gill Sans" w:cs="Gill Sans" w:hint="cs"/>
              <w:lang w:val="en-US"/>
            </w:rPr>
            <w:t xml:space="preserve">Hedonic-vs. health-based approach to food: An explorative study of extrinsic attributes importance among French and Italian consumers. Journal of Agriculture and Food Research, 22. </w:t>
          </w:r>
          <w:hyperlink r:id="rId20" w:history="1">
            <w:r w:rsidRPr="0039059E">
              <w:rPr>
                <w:rStyle w:val="Hipervnculo"/>
                <w:rFonts w:ascii="Gill Sans" w:hAnsi="Gill Sans" w:cs="Gill Sans" w:hint="cs"/>
                <w:color w:val="auto"/>
                <w:u w:val="none"/>
                <w:lang w:val="en-US"/>
              </w:rPr>
              <w:t>https://doi.org/10.1016/j.jafr.2025.102020</w:t>
            </w:r>
          </w:hyperlink>
        </w:p>
        <w:p w14:paraId="3E3854DB"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Rodríguez-</w:t>
          </w:r>
          <w:proofErr w:type="spellStart"/>
          <w:r w:rsidRPr="0039059E">
            <w:rPr>
              <w:rFonts w:ascii="Gill Sans" w:hAnsi="Gill Sans" w:cs="Gill Sans" w:hint="cs"/>
              <w:lang w:val="en-US"/>
            </w:rPr>
            <w:t>Barniol</w:t>
          </w:r>
          <w:proofErr w:type="spellEnd"/>
          <w:r w:rsidRPr="0039059E">
            <w:rPr>
              <w:rFonts w:ascii="Gill Sans" w:hAnsi="Gill Sans" w:cs="Gill Sans" w:hint="cs"/>
              <w:lang w:val="en-US"/>
            </w:rPr>
            <w:t xml:space="preserve">, M., Pujol-Busquets, G., &amp; Bach-Faig, A. (2024a). Screen Time Use and Ultra-Processed Food Consumption in Adolescents: A Focus Group Qualitative Study. Journal of the Academy of Nutrition and Dietetics, 124(10), 1336–1346. </w:t>
          </w:r>
          <w:hyperlink r:id="rId21" w:history="1">
            <w:r w:rsidRPr="0039059E">
              <w:rPr>
                <w:rStyle w:val="Hipervnculo"/>
                <w:rFonts w:ascii="Gill Sans" w:hAnsi="Gill Sans" w:cs="Gill Sans" w:hint="cs"/>
                <w:color w:val="auto"/>
                <w:u w:val="none"/>
                <w:lang w:val="en-US"/>
              </w:rPr>
              <w:t>https://doi.org/10.1016/j.jand.2024.04.015</w:t>
            </w:r>
          </w:hyperlink>
        </w:p>
        <w:p w14:paraId="60869FD7"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lang w:val="en-US"/>
            </w:rPr>
            <w:t>Rodríguez-</w:t>
          </w:r>
          <w:proofErr w:type="spellStart"/>
          <w:r w:rsidRPr="0039059E">
            <w:rPr>
              <w:rFonts w:ascii="Gill Sans" w:hAnsi="Gill Sans" w:cs="Gill Sans" w:hint="cs"/>
              <w:lang w:val="en-US"/>
            </w:rPr>
            <w:t>Barniol</w:t>
          </w:r>
          <w:proofErr w:type="spellEnd"/>
          <w:r w:rsidRPr="0039059E">
            <w:rPr>
              <w:rFonts w:ascii="Gill Sans" w:hAnsi="Gill Sans" w:cs="Gill Sans" w:hint="cs"/>
              <w:lang w:val="en-US"/>
            </w:rPr>
            <w:t xml:space="preserve">, M., Pujol-Busquets, G., &amp; Bach-Faig, A. (2024b). Screen Time Use and Ultra-Processed Food Consumption in Adolescents: A Focus Group Qualitative Study. Journal of the Academy of Nutrition and Dietetics, 124(10), 1336–1346. </w:t>
          </w:r>
          <w:hyperlink r:id="rId22" w:history="1">
            <w:r w:rsidRPr="0039059E">
              <w:rPr>
                <w:rStyle w:val="Hipervnculo"/>
                <w:rFonts w:ascii="Gill Sans" w:hAnsi="Gill Sans" w:cs="Gill Sans" w:hint="cs"/>
                <w:color w:val="auto"/>
                <w:u w:val="none"/>
                <w:lang w:val="en-US"/>
              </w:rPr>
              <w:t>https://doi.org/10.1016/j.jand.2024.04.015</w:t>
            </w:r>
          </w:hyperlink>
        </w:p>
        <w:p w14:paraId="27AEF0BF"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rPr>
            <w:t xml:space="preserve">Sgroi, F., Sciortino, C., Baviera-Puig, A., &amp; Modica, F. (2024). </w:t>
          </w:r>
          <w:r w:rsidRPr="0039059E">
            <w:rPr>
              <w:rFonts w:ascii="Gill Sans" w:hAnsi="Gill Sans" w:cs="Gill Sans" w:hint="cs"/>
              <w:lang w:val="en-US"/>
            </w:rPr>
            <w:t xml:space="preserve">Analyzing consumer trends in functional foods: A cluster analysis approach. Journal of Agriculture and Food Research, 15. </w:t>
          </w:r>
          <w:hyperlink r:id="rId23" w:history="1">
            <w:r w:rsidRPr="0039059E">
              <w:rPr>
                <w:rStyle w:val="Hipervnculo"/>
                <w:rFonts w:ascii="Gill Sans" w:hAnsi="Gill Sans" w:cs="Gill Sans" w:hint="cs"/>
                <w:color w:val="auto"/>
                <w:u w:val="none"/>
                <w:lang w:val="en-US"/>
              </w:rPr>
              <w:t>https://doi.org/10.1016/j.jafr.2024.101041</w:t>
            </w:r>
          </w:hyperlink>
        </w:p>
        <w:p w14:paraId="7BE9DE50" w14:textId="77777777" w:rsidR="0039059E" w:rsidRPr="0039059E" w:rsidRDefault="0039059E" w:rsidP="001B79F3">
          <w:pPr>
            <w:autoSpaceDE w:val="0"/>
            <w:autoSpaceDN w:val="0"/>
            <w:ind w:hanging="480"/>
            <w:jc w:val="both"/>
            <w:rPr>
              <w:rFonts w:ascii="Gill Sans" w:hAnsi="Gill Sans" w:cs="Gill Sans"/>
            </w:rPr>
          </w:pPr>
          <w:r w:rsidRPr="0039059E">
            <w:rPr>
              <w:rFonts w:ascii="Gill Sans" w:hAnsi="Gill Sans" w:cs="Gill Sans" w:hint="cs"/>
              <w:lang w:val="pt-PT"/>
            </w:rPr>
            <w:t xml:space="preserve">Soares, P., </w:t>
          </w:r>
          <w:proofErr w:type="spellStart"/>
          <w:r w:rsidRPr="0039059E">
            <w:rPr>
              <w:rFonts w:ascii="Gill Sans" w:hAnsi="Gill Sans" w:cs="Gill Sans" w:hint="cs"/>
              <w:lang w:val="pt-PT"/>
            </w:rPr>
            <w:t>Secci</w:t>
          </w:r>
          <w:proofErr w:type="spellEnd"/>
          <w:r w:rsidRPr="0039059E">
            <w:rPr>
              <w:rFonts w:ascii="Gill Sans" w:hAnsi="Gill Sans" w:cs="Gill Sans" w:hint="cs"/>
              <w:lang w:val="pt-PT"/>
            </w:rPr>
            <w:t xml:space="preserve"> </w:t>
          </w:r>
          <w:proofErr w:type="spellStart"/>
          <w:r w:rsidRPr="0039059E">
            <w:rPr>
              <w:rFonts w:ascii="Gill Sans" w:hAnsi="Gill Sans" w:cs="Gill Sans" w:hint="cs"/>
              <w:lang w:val="pt-PT"/>
            </w:rPr>
            <w:t>Martinelli</w:t>
          </w:r>
          <w:proofErr w:type="spellEnd"/>
          <w:r w:rsidRPr="0039059E">
            <w:rPr>
              <w:rFonts w:ascii="Gill Sans" w:hAnsi="Gill Sans" w:cs="Gill Sans" w:hint="cs"/>
              <w:lang w:val="pt-PT"/>
            </w:rPr>
            <w:t xml:space="preserve">, S., </w:t>
          </w:r>
          <w:proofErr w:type="spellStart"/>
          <w:r w:rsidRPr="0039059E">
            <w:rPr>
              <w:rFonts w:ascii="Gill Sans" w:hAnsi="Gill Sans" w:cs="Gill Sans" w:hint="cs"/>
              <w:lang w:val="pt-PT"/>
            </w:rPr>
            <w:t>Barletto</w:t>
          </w:r>
          <w:proofErr w:type="spellEnd"/>
          <w:r w:rsidRPr="0039059E">
            <w:rPr>
              <w:rFonts w:ascii="Gill Sans" w:hAnsi="Gill Sans" w:cs="Gill Sans" w:hint="cs"/>
              <w:lang w:val="pt-PT"/>
            </w:rPr>
            <w:t xml:space="preserve"> </w:t>
          </w:r>
          <w:proofErr w:type="spellStart"/>
          <w:r w:rsidRPr="0039059E">
            <w:rPr>
              <w:rFonts w:ascii="Gill Sans" w:hAnsi="Gill Sans" w:cs="Gill Sans" w:hint="cs"/>
              <w:lang w:val="pt-PT"/>
            </w:rPr>
            <w:t>Cavalli</w:t>
          </w:r>
          <w:proofErr w:type="spellEnd"/>
          <w:r w:rsidRPr="0039059E">
            <w:rPr>
              <w:rFonts w:ascii="Gill Sans" w:hAnsi="Gill Sans" w:cs="Gill Sans" w:hint="cs"/>
              <w:lang w:val="pt-PT"/>
            </w:rPr>
            <w:t xml:space="preserve">, S., &amp; </w:t>
          </w:r>
          <w:proofErr w:type="spellStart"/>
          <w:r w:rsidRPr="0039059E">
            <w:rPr>
              <w:rFonts w:ascii="Gill Sans" w:hAnsi="Gill Sans" w:cs="Gill Sans" w:hint="cs"/>
              <w:lang w:val="pt-PT"/>
            </w:rPr>
            <w:t>Davó-Blanes</w:t>
          </w:r>
          <w:proofErr w:type="spellEnd"/>
          <w:r w:rsidRPr="0039059E">
            <w:rPr>
              <w:rFonts w:ascii="Gill Sans" w:hAnsi="Gill Sans" w:cs="Gill Sans" w:hint="cs"/>
              <w:lang w:val="pt-PT"/>
            </w:rPr>
            <w:t xml:space="preserve">, M. C. (2021). </w:t>
          </w:r>
          <w:r w:rsidRPr="0039059E">
            <w:rPr>
              <w:rFonts w:ascii="Gill Sans" w:hAnsi="Gill Sans" w:cs="Gill Sans" w:hint="cs"/>
              <w:lang w:val="en-US"/>
            </w:rPr>
            <w:t xml:space="preserve">Methodological proposal to explore the healthy and sustainable food service purchasing. </w:t>
          </w:r>
          <w:r w:rsidRPr="0039059E">
            <w:rPr>
              <w:rFonts w:ascii="Gill Sans" w:hAnsi="Gill Sans" w:cs="Gill Sans" w:hint="cs"/>
            </w:rPr>
            <w:t xml:space="preserve">Gaceta Sanitaria, 35(2), 204–207. </w:t>
          </w:r>
          <w:hyperlink r:id="rId24" w:history="1">
            <w:r w:rsidRPr="0039059E">
              <w:rPr>
                <w:rStyle w:val="Hipervnculo"/>
                <w:rFonts w:ascii="Gill Sans" w:hAnsi="Gill Sans" w:cs="Gill Sans" w:hint="cs"/>
                <w:color w:val="auto"/>
                <w:u w:val="none"/>
              </w:rPr>
              <w:t>https://doi.org/10.1016/j.gaceta.2020.01.003</w:t>
            </w:r>
          </w:hyperlink>
        </w:p>
        <w:p w14:paraId="4015A43E" w14:textId="77777777" w:rsidR="0039059E" w:rsidRPr="0039059E" w:rsidRDefault="0039059E" w:rsidP="001B79F3">
          <w:pPr>
            <w:autoSpaceDE w:val="0"/>
            <w:autoSpaceDN w:val="0"/>
            <w:ind w:hanging="480"/>
            <w:jc w:val="both"/>
            <w:rPr>
              <w:rFonts w:ascii="Gill Sans" w:hAnsi="Gill Sans" w:cs="Gill Sans"/>
              <w:lang w:val="en-US"/>
            </w:rPr>
          </w:pPr>
          <w:r w:rsidRPr="0039059E">
            <w:rPr>
              <w:rFonts w:ascii="Gill Sans" w:hAnsi="Gill Sans" w:cs="Gill Sans" w:hint="cs"/>
            </w:rPr>
            <w:lastRenderedPageBreak/>
            <w:t xml:space="preserve">Song, X., Bredahl, L., Diaz Navarro, M., Pendenza, P., Stojacic, I., Mincione, S., Pellegrini, G., Schlüter, O. K., Torrieri, E., Di Monaco, R., &amp; Giacalone, D. (2022). </w:t>
          </w:r>
          <w:r w:rsidRPr="0039059E">
            <w:rPr>
              <w:rFonts w:ascii="Gill Sans" w:hAnsi="Gill Sans" w:cs="Gill Sans" w:hint="cs"/>
              <w:lang w:val="en-US"/>
            </w:rPr>
            <w:t xml:space="preserve">Factors affecting consumer choice of novel non-thermally processed fruit and vegetables products: Evidence from a 4-country study in Europe. Food Research International, 153. </w:t>
          </w:r>
          <w:hyperlink r:id="rId25" w:history="1">
            <w:r w:rsidRPr="0039059E">
              <w:rPr>
                <w:rStyle w:val="Hipervnculo"/>
                <w:rFonts w:ascii="Gill Sans" w:hAnsi="Gill Sans" w:cs="Gill Sans" w:hint="cs"/>
                <w:color w:val="auto"/>
                <w:u w:val="none"/>
                <w:lang w:val="en-US"/>
              </w:rPr>
              <w:t>https://doi.org/10.1016/j.foodres.2022.110975</w:t>
            </w:r>
          </w:hyperlink>
        </w:p>
        <w:p w14:paraId="5FFD5712" w14:textId="77777777" w:rsidR="0039059E" w:rsidRPr="0039059E" w:rsidRDefault="0039059E" w:rsidP="001B79F3">
          <w:pPr>
            <w:autoSpaceDE w:val="0"/>
            <w:autoSpaceDN w:val="0"/>
            <w:ind w:hanging="480"/>
            <w:jc w:val="both"/>
            <w:rPr>
              <w:rFonts w:ascii="Gill Sans" w:hAnsi="Gill Sans" w:cs="Gill Sans"/>
            </w:rPr>
          </w:pPr>
          <w:r w:rsidRPr="001B79F3">
            <w:rPr>
              <w:rFonts w:ascii="Gill Sans" w:hAnsi="Gill Sans" w:cs="Gill Sans" w:hint="cs"/>
              <w:lang w:val="en-US"/>
            </w:rPr>
            <w:t xml:space="preserve">Uliano, A., Stanco, M., Marotta, G., &amp; Nazzaro, C. (2024). </w:t>
          </w:r>
          <w:r w:rsidRPr="0039059E">
            <w:rPr>
              <w:rFonts w:ascii="Gill Sans" w:hAnsi="Gill Sans" w:cs="Gill Sans" w:hint="cs"/>
              <w:lang w:val="en-US"/>
            </w:rPr>
            <w:t xml:space="preserve">Combining healthiness and sustainability: An analysis of consumers’ preferences and willingness to pay for functional and sustainable snack bars. </w:t>
          </w:r>
          <w:r w:rsidRPr="0039059E">
            <w:rPr>
              <w:rFonts w:ascii="Gill Sans" w:hAnsi="Gill Sans" w:cs="Gill Sans" w:hint="cs"/>
            </w:rPr>
            <w:t xml:space="preserve">Future Foods, 9. </w:t>
          </w:r>
          <w:hyperlink r:id="rId26" w:history="1">
            <w:r w:rsidRPr="0039059E">
              <w:rPr>
                <w:rStyle w:val="Hipervnculo"/>
                <w:rFonts w:ascii="Gill Sans" w:hAnsi="Gill Sans" w:cs="Gill Sans" w:hint="cs"/>
                <w:color w:val="auto"/>
                <w:u w:val="none"/>
              </w:rPr>
              <w:t>https://doi.org/10.1016/j.fufo.2024.100355</w:t>
            </w:r>
          </w:hyperlink>
        </w:p>
        <w:p w14:paraId="4C18DC19" w14:textId="15023DEF" w:rsidR="004A428A" w:rsidRPr="004A428A" w:rsidRDefault="004A428A" w:rsidP="001B79F3">
          <w:pPr>
            <w:pStyle w:val="pdq2pgselectionanchorcontainer"/>
            <w:spacing w:before="0" w:beforeAutospacing="0" w:after="0" w:afterAutospacing="0"/>
            <w:ind w:left="720" w:hanging="720"/>
            <w:jc w:val="both"/>
            <w:rPr>
              <w:rFonts w:ascii="Gill Sans" w:hAnsi="Gill Sans" w:cs="Gill Sans"/>
            </w:rPr>
          </w:pPr>
        </w:p>
        <w:p w14:paraId="117BA5DD" w14:textId="70C09B8C" w:rsidR="00452329" w:rsidRPr="00F57C73" w:rsidRDefault="00000000" w:rsidP="001B79F3">
          <w:pPr>
            <w:ind w:left="567" w:right="-7" w:hanging="567"/>
            <w:jc w:val="both"/>
            <w:rPr>
              <w:rFonts w:ascii="Gill Sans" w:hAnsi="Gill Sans" w:cs="Gill Sans"/>
            </w:rPr>
          </w:pPr>
        </w:p>
      </w:sdtContent>
    </w:sdt>
    <w:sectPr w:rsidR="00452329" w:rsidRPr="00F57C73" w:rsidSect="0039059E">
      <w:headerReference w:type="default" r:id="rId27"/>
      <w:footerReference w:type="even" r:id="rId28"/>
      <w:footerReference w:type="default" r:id="rId29"/>
      <w:headerReference w:type="first" r:id="rId30"/>
      <w:footerReference w:type="first" r:id="rId31"/>
      <w:footnotePr>
        <w:numFmt w:val="chicago"/>
      </w:footnotePr>
      <w:pgSz w:w="11900" w:h="16840"/>
      <w:pgMar w:top="2439" w:right="1701" w:bottom="2507" w:left="1701" w:header="708" w:footer="224" w:gutter="0"/>
      <w:pgNumType w:start="5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927280" w14:textId="77777777" w:rsidR="001E50C2" w:rsidRDefault="001E50C2" w:rsidP="00376AEE">
      <w:r>
        <w:separator/>
      </w:r>
    </w:p>
  </w:endnote>
  <w:endnote w:type="continuationSeparator" w:id="0">
    <w:p w14:paraId="3D65F88C" w14:textId="77777777" w:rsidR="001E50C2" w:rsidRDefault="001E50C2" w:rsidP="00376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webkit-standard">
    <w:panose1 w:val="020B0604020202020204"/>
    <w:charset w:val="00"/>
    <w:family w:val="roman"/>
    <w:pitch w:val="default"/>
  </w:font>
  <w:font w:name="Gill Sans">
    <w:panose1 w:val="020B0502020104020203"/>
    <w:charset w:val="B1"/>
    <w:family w:val="swiss"/>
    <w:pitch w:val="variable"/>
    <w:sig w:usb0="80000A67" w:usb1="00000000" w:usb2="00000000" w:usb3="00000000" w:csb0="000001F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2032634822"/>
      <w:docPartObj>
        <w:docPartGallery w:val="Page Numbers (Bottom of Page)"/>
        <w:docPartUnique/>
      </w:docPartObj>
    </w:sdtPr>
    <w:sdtContent>
      <w:p w14:paraId="5D257C0E" w14:textId="77777777" w:rsidR="00477CD8" w:rsidRDefault="00000000">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214FCAE" w14:textId="77777777" w:rsidR="00DF1B8E" w:rsidRDefault="00DF1B8E" w:rsidP="00376AEE">
    <w:pPr>
      <w:pStyle w:val="Piedepgina"/>
      <w:ind w:right="360"/>
    </w:pPr>
  </w:p>
  <w:p w14:paraId="7A2E5FA5" w14:textId="77777777" w:rsidR="00DF1B8E" w:rsidRDefault="00DF1B8E"/>
  <w:p w14:paraId="6018453D" w14:textId="77777777" w:rsidR="00CB71CE" w:rsidRDefault="00CB71CE"/>
  <w:p w14:paraId="1E250F27" w14:textId="77777777" w:rsidR="00410C1A" w:rsidRDefault="00410C1A"/>
  <w:p w14:paraId="0EC3046B" w14:textId="77777777" w:rsidR="00410C1A" w:rsidRDefault="00410C1A"/>
  <w:p w14:paraId="6A8D27A7" w14:textId="77777777" w:rsidR="005A1ADC" w:rsidRDefault="005A1ADC"/>
  <w:p w14:paraId="44372701" w14:textId="77777777" w:rsidR="005A1ADC" w:rsidRDefault="005A1ADC"/>
  <w:p w14:paraId="12E03C70" w14:textId="77777777" w:rsidR="005A1ADC" w:rsidRDefault="005A1AD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merodepgina"/>
      </w:rPr>
      <w:id w:val="652331593"/>
      <w:docPartObj>
        <w:docPartGallery w:val="Page Numbers (Bottom of Page)"/>
        <w:docPartUnique/>
      </w:docPartObj>
    </w:sdtPr>
    <w:sdtEndPr>
      <w:rPr>
        <w:rStyle w:val="Nmerodepgina"/>
        <w:rFonts w:ascii="Gill Sans MT" w:hAnsi="Gill Sans MT"/>
      </w:rPr>
    </w:sdtEndPr>
    <w:sdtContent>
      <w:p w14:paraId="7ACAFF8D" w14:textId="77777777" w:rsidR="00DF1B8E" w:rsidRPr="00DF1B8E" w:rsidRDefault="00000000" w:rsidP="00DF1B8E">
        <w:pPr>
          <w:pStyle w:val="Piedepgina"/>
          <w:framePr w:w="473" w:wrap="none" w:vAnchor="text" w:hAnchor="page" w:x="10055" w:y="-22"/>
          <w:rPr>
            <w:rStyle w:val="Nmerodepgina"/>
            <w:rFonts w:ascii="Gill Sans MT" w:hAnsi="Gill Sans MT"/>
          </w:rPr>
        </w:pPr>
      </w:p>
    </w:sdtContent>
  </w:sdt>
  <w:p w14:paraId="58BAC240" w14:textId="486920BE" w:rsidR="00477CD8" w:rsidRPr="00CB27B4" w:rsidRDefault="00000000" w:rsidP="00916166">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 xml:space="preserve">e-ISSN: 2576-0971. </w:t>
    </w:r>
    <w:r w:rsidR="00EE42F4">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916166" w:rsidRPr="00376AEE">
      <w:rPr>
        <w:rFonts w:ascii="Gill Sans MT" w:eastAsiaTheme="majorEastAsia" w:hAnsi="Gill Sans MT" w:cstheme="minorHAnsi"/>
        <w:sz w:val="18"/>
        <w:szCs w:val="18"/>
        <w:lang w:val="en-US"/>
      </w:rPr>
      <w:t>Vol.</w:t>
    </w:r>
    <w:r w:rsidR="00916166">
      <w:rPr>
        <w:rFonts w:ascii="Gill Sans MT" w:eastAsiaTheme="majorEastAsia" w:hAnsi="Gill Sans MT" w:cstheme="minorHAnsi"/>
        <w:sz w:val="18"/>
        <w:szCs w:val="18"/>
        <w:lang w:val="en-US"/>
      </w:rPr>
      <w:t xml:space="preserve"> 10</w:t>
    </w:r>
    <w:r w:rsidR="00916166"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sidR="00EE42F4">
      <w:rPr>
        <w:rFonts w:ascii="Gill Sans MT" w:eastAsiaTheme="majorEastAsia" w:hAnsi="Gill Sans MT" w:cstheme="minorHAnsi"/>
        <w:sz w:val="18"/>
        <w:szCs w:val="18"/>
        <w:lang w:val="en-US"/>
      </w:rPr>
      <w:t>4</w:t>
    </w:r>
    <w:r w:rsidR="00916166">
      <w:rPr>
        <w:rFonts w:ascii="Gill Sans MT" w:eastAsiaTheme="majorEastAsia" w:hAnsi="Gill Sans MT" w:cstheme="minorHAnsi"/>
        <w:sz w:val="18"/>
        <w:szCs w:val="18"/>
        <w:lang w:val="en-US"/>
      </w:rPr>
      <w:t>, 2026</w:t>
    </w:r>
    <w:r w:rsidRPr="00CB27B4">
      <w:rPr>
        <w:rFonts w:ascii="Gill Sans MT" w:eastAsiaTheme="majorEastAsia" w:hAnsi="Gill Sans MT" w:cstheme="minorHAnsi"/>
        <w:sz w:val="18"/>
        <w:szCs w:val="18"/>
        <w:lang w:val="en-US"/>
      </w:rPr>
      <w:t>. http://journalbusinesses.com/index.php/revista</w:t>
    </w:r>
  </w:p>
  <w:p w14:paraId="0FBAFF06" w14:textId="77777777" w:rsidR="00DF1B8E" w:rsidRPr="00CB27B4" w:rsidRDefault="00DF1B8E">
    <w:pPr>
      <w:pStyle w:val="Piedepgina"/>
      <w:rPr>
        <w:lang w:val="en-US"/>
      </w:rPr>
    </w:pPr>
  </w:p>
  <w:sdt>
    <w:sdtPr>
      <w:rPr>
        <w:rStyle w:val="Nmerodepgina"/>
      </w:rPr>
      <w:id w:val="-1281412047"/>
      <w:docPartObj>
        <w:docPartGallery w:val="Page Numbers (Bottom of Page)"/>
        <w:docPartUnique/>
      </w:docPartObj>
    </w:sdtPr>
    <w:sdtEndPr>
      <w:rPr>
        <w:rStyle w:val="Nmerodepgina"/>
        <w:rFonts w:ascii="Gill Sans MT" w:hAnsi="Gill Sans MT"/>
      </w:rPr>
    </w:sdtEndPr>
    <w:sdtContent>
      <w:p w14:paraId="13D640A1" w14:textId="77777777" w:rsidR="00477CD8" w:rsidRDefault="00000000">
        <w:pPr>
          <w:pStyle w:val="Piedepgina"/>
          <w:jc w:val="right"/>
          <w:rPr>
            <w:rFonts w:ascii="Gill Sans MT" w:hAnsi="Gill Sans MT"/>
            <w:lang w:val="en-US"/>
          </w:rPr>
        </w:pPr>
        <w:r w:rsidRPr="00DF1B8E">
          <w:rPr>
            <w:rStyle w:val="Nmerodepgina"/>
            <w:rFonts w:ascii="Gill Sans MT" w:hAnsi="Gill Sans MT"/>
          </w:rPr>
          <w:fldChar w:fldCharType="begin"/>
        </w:r>
        <w:r w:rsidRPr="00E94595">
          <w:rPr>
            <w:rStyle w:val="Nmerodepgina"/>
            <w:rFonts w:ascii="Gill Sans MT" w:hAnsi="Gill Sans MT"/>
            <w:lang w:val="en-US"/>
          </w:rPr>
          <w:instrText xml:space="preserve"> PAGE </w:instrText>
        </w:r>
        <w:r w:rsidRPr="00DF1B8E">
          <w:rPr>
            <w:rStyle w:val="Nmerodepgina"/>
            <w:rFonts w:ascii="Gill Sans MT" w:hAnsi="Gill Sans MT"/>
          </w:rPr>
          <w:fldChar w:fldCharType="separate"/>
        </w:r>
        <w:r w:rsidRPr="00E94595">
          <w:rPr>
            <w:rStyle w:val="Nmerodepgina"/>
            <w:rFonts w:ascii="Gill Sans MT" w:hAnsi="Gill Sans MT"/>
            <w:lang w:val="en-US"/>
          </w:rPr>
          <w:t>2</w:t>
        </w:r>
        <w:r w:rsidRPr="00DF1B8E">
          <w:rPr>
            <w:rStyle w:val="Nmerodepgina"/>
            <w:rFonts w:ascii="Gill Sans MT" w:hAnsi="Gill Sans MT"/>
          </w:rPr>
          <w:fldChar w:fldCharType="end"/>
        </w:r>
      </w:p>
    </w:sdtContent>
  </w:sdt>
  <w:p w14:paraId="1D7A23DA" w14:textId="77777777" w:rsidR="005A1ADC" w:rsidRPr="00952D51" w:rsidRDefault="005A1ADC">
    <w:pPr>
      <w:rPr>
        <w:lang w:val="en-US"/>
      </w:rPr>
    </w:pPr>
  </w:p>
  <w:p w14:paraId="71BE20FC" w14:textId="77777777" w:rsidR="005A1ADC" w:rsidRPr="00952D51" w:rsidRDefault="005A1ADC">
    <w:pPr>
      <w:rPr>
        <w:lang w:val="en-US"/>
      </w:rPr>
    </w:pPr>
  </w:p>
  <w:p w14:paraId="260445A1" w14:textId="77777777" w:rsidR="005A1ADC" w:rsidRPr="00952D51" w:rsidRDefault="005A1ADC">
    <w:pP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C61C63" w14:textId="77777777" w:rsidR="00477CD8" w:rsidRDefault="00000000">
    <w:pPr>
      <w:pStyle w:val="Piedepgina"/>
    </w:pPr>
    <w:r w:rsidRPr="00376AEE">
      <w:rPr>
        <w:noProof/>
        <w:lang w:val="en-US" w:eastAsia="en-US"/>
      </w:rPr>
      <mc:AlternateContent>
        <mc:Choice Requires="wps">
          <w:drawing>
            <wp:anchor distT="0" distB="0" distL="114300" distR="114300" simplePos="0" relativeHeight="251669504" behindDoc="0" locked="0" layoutInCell="1" allowOverlap="1" wp14:anchorId="01EB4ED5" wp14:editId="3B3BF801">
              <wp:simplePos x="0" y="0"/>
              <wp:positionH relativeFrom="column">
                <wp:posOffset>4049395</wp:posOffset>
              </wp:positionH>
              <wp:positionV relativeFrom="paragraph">
                <wp:posOffset>-4716780</wp:posOffset>
              </wp:positionV>
              <wp:extent cx="2413262" cy="1573200"/>
              <wp:effectExtent l="0" t="0" r="0" b="1905"/>
              <wp:wrapNone/>
              <wp:docPr id="6" name="Cuadro de texto 6"/>
              <wp:cNvGraphicFramePr/>
              <a:graphic xmlns:a="http://schemas.openxmlformats.org/drawingml/2006/main">
                <a:graphicData uri="http://schemas.microsoft.com/office/word/2010/wordprocessingShape">
                  <wps:wsp>
                    <wps:cNvSpPr txBox="1"/>
                    <wps:spPr>
                      <a:xfrm>
                        <a:off x="0" y="0"/>
                        <a:ext cx="2413262" cy="1573200"/>
                      </a:xfrm>
                      <a:prstGeom prst="rect">
                        <a:avLst/>
                      </a:prstGeom>
                      <a:solidFill>
                        <a:schemeClr val="lt1"/>
                      </a:solidFill>
                      <a:ln w="6350">
                        <a:noFill/>
                      </a:ln>
                    </wps:spPr>
                    <wps:txb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e-ISSN: 2576-0971</w:t>
                          </w:r>
                        </w:p>
                        <w:p w14:paraId="2AAF3821" w14:textId="77777777" w:rsidR="00477CD8" w:rsidRPr="00150A3D" w:rsidRDefault="00C52121">
                          <w:pPr>
                            <w:keepNext/>
                            <w:keepLines/>
                            <w:spacing w:before="40"/>
                            <w:jc w:val="both"/>
                            <w:outlineLvl w:val="2"/>
                            <w:rPr>
                              <w:rFonts w:ascii="Gill Sans MT" w:eastAsiaTheme="majorEastAsia" w:hAnsi="Gill Sans MT" w:cstheme="minorHAnsi"/>
                              <w:sz w:val="18"/>
                              <w:szCs w:val="18"/>
                              <w:lang w:eastAsia="en-US"/>
                            </w:rPr>
                          </w:pPr>
                          <w:hyperlink r:id="rId1" w:history="1">
                            <w:r w:rsidRPr="00150A3D">
                              <w:rPr>
                                <w:rFonts w:ascii="Gill Sans MT" w:eastAsiaTheme="majorEastAsia" w:hAnsi="Gill Sans MT" w:cstheme="minorHAnsi"/>
                                <w:sz w:val="18"/>
                                <w:szCs w:val="18"/>
                                <w:lang w:eastAsia="en-US"/>
                              </w:rPr>
                              <w:t xml:space="preserve"> journalbusinessentrepreneurial@gmail.com</w:t>
                            </w:r>
                          </w:hyperlink>
                        </w:p>
                        <w:p w14:paraId="1F0920AF" w14:textId="451982DA" w:rsidR="00477CD8" w:rsidRPr="001B79F3" w:rsidRDefault="00000000">
                          <w:pPr>
                            <w:keepNext/>
                            <w:keepLines/>
                            <w:spacing w:before="40"/>
                            <w:jc w:val="both"/>
                            <w:outlineLvl w:val="2"/>
                            <w:rPr>
                              <w:rFonts w:ascii="Gill Sans MT" w:eastAsiaTheme="majorEastAsia" w:hAnsi="Gill Sans MT" w:cstheme="minorHAnsi"/>
                              <w:sz w:val="18"/>
                              <w:szCs w:val="18"/>
                            </w:rPr>
                          </w:pPr>
                          <w:r w:rsidRPr="001B79F3">
                            <w:rPr>
                              <w:rFonts w:ascii="Gill Sans MT" w:eastAsiaTheme="majorEastAsia" w:hAnsi="Gill Sans MT" w:cstheme="minorHAnsi"/>
                              <w:sz w:val="18"/>
                              <w:szCs w:val="18"/>
                            </w:rPr>
                            <w:t xml:space="preserve">Received: </w:t>
                          </w:r>
                          <w:r w:rsidR="00EE42F4" w:rsidRPr="001B79F3">
                            <w:rPr>
                              <w:rFonts w:ascii="Gill Sans MT" w:eastAsiaTheme="majorEastAsia" w:hAnsi="Gill Sans MT" w:cstheme="minorHAnsi"/>
                              <w:sz w:val="18"/>
                              <w:szCs w:val="18"/>
                            </w:rPr>
                            <w:t>Ju</w:t>
                          </w:r>
                          <w:r w:rsidR="00FD5CA3" w:rsidRPr="001B79F3">
                            <w:rPr>
                              <w:rFonts w:ascii="Gill Sans MT" w:eastAsiaTheme="majorEastAsia" w:hAnsi="Gill Sans MT" w:cstheme="minorHAnsi"/>
                              <w:sz w:val="18"/>
                              <w:szCs w:val="18"/>
                            </w:rPr>
                            <w:t>ne</w:t>
                          </w:r>
                          <w:r w:rsidR="009D2121" w:rsidRPr="001B79F3">
                            <w:rPr>
                              <w:rFonts w:ascii="Gill Sans MT" w:eastAsiaTheme="majorEastAsia" w:hAnsi="Gill Sans MT" w:cstheme="minorHAnsi"/>
                              <w:sz w:val="18"/>
                              <w:szCs w:val="18"/>
                            </w:rPr>
                            <w:t xml:space="preserve"> </w:t>
                          </w:r>
                          <w:r w:rsidR="00335146" w:rsidRPr="001B79F3">
                            <w:rPr>
                              <w:rFonts w:ascii="Gill Sans MT" w:eastAsiaTheme="majorEastAsia" w:hAnsi="Gill Sans MT" w:cstheme="minorHAnsi"/>
                              <w:sz w:val="18"/>
                              <w:szCs w:val="18"/>
                            </w:rPr>
                            <w:t>2</w:t>
                          </w:r>
                          <w:r w:rsidR="00FD5CA3" w:rsidRPr="001B79F3">
                            <w:rPr>
                              <w:rFonts w:ascii="Gill Sans MT" w:eastAsiaTheme="majorEastAsia" w:hAnsi="Gill Sans MT" w:cstheme="minorHAnsi"/>
                              <w:sz w:val="18"/>
                              <w:szCs w:val="18"/>
                            </w:rPr>
                            <w:t>8</w:t>
                          </w:r>
                          <w:r w:rsidR="009D2121" w:rsidRPr="001B79F3">
                            <w:rPr>
                              <w:rFonts w:ascii="Gill Sans MT" w:eastAsiaTheme="majorEastAsia" w:hAnsi="Gill Sans MT" w:cstheme="minorHAnsi"/>
                              <w:sz w:val="18"/>
                              <w:szCs w:val="18"/>
                            </w:rPr>
                            <w:t>,</w:t>
                          </w:r>
                          <w:r w:rsidR="00F609CC" w:rsidRPr="001B79F3">
                            <w:rPr>
                              <w:rFonts w:ascii="Gill Sans MT" w:eastAsiaTheme="majorEastAsia" w:hAnsi="Gill Sans MT" w:cstheme="minorHAnsi"/>
                              <w:sz w:val="18"/>
                              <w:szCs w:val="18"/>
                            </w:rPr>
                            <w:t xml:space="preserve"> 2026</w:t>
                          </w:r>
                        </w:p>
                        <w:p w14:paraId="3C37931F" w14:textId="170348CE"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335146">
                            <w:rPr>
                              <w:rFonts w:ascii="Gill Sans MT" w:eastAsiaTheme="majorEastAsia" w:hAnsi="Gill Sans MT" w:cstheme="minorHAnsi"/>
                              <w:sz w:val="18"/>
                              <w:szCs w:val="18"/>
                              <w:lang w:val="en-US"/>
                            </w:rPr>
                            <w:t>30</w:t>
                          </w:r>
                          <w:r w:rsidR="0047105B">
                            <w:rPr>
                              <w:rFonts w:ascii="Gill Sans MT" w:eastAsiaTheme="majorEastAsia" w:hAnsi="Gill Sans MT" w:cstheme="minorHAnsi"/>
                              <w:sz w:val="18"/>
                              <w:szCs w:val="18"/>
                              <w:lang w:val="en-US"/>
                            </w:rPr>
                            <w:t>,</w:t>
                          </w:r>
                          <w:r w:rsidR="003D3AC7">
                            <w:rPr>
                              <w:rFonts w:ascii="Gill Sans MT" w:eastAsiaTheme="majorEastAsia" w:hAnsi="Gill Sans MT" w:cstheme="minorHAnsi"/>
                              <w:sz w:val="18"/>
                              <w:szCs w:val="18"/>
                              <w:lang w:val="en-US"/>
                            </w:rPr>
                            <w:t xml:space="preserve"> 2026</w:t>
                          </w:r>
                        </w:p>
                        <w:p w14:paraId="3B13D2EB" w14:textId="0ADC25FD"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39059E">
                            <w:rPr>
                              <w:rFonts w:ascii="Gill Sans MT" w:eastAsiaTheme="majorEastAsia" w:hAnsi="Gill Sans MT" w:cstheme="minorHAnsi"/>
                              <w:sz w:val="18"/>
                              <w:szCs w:val="18"/>
                              <w:lang w:val="en-US"/>
                            </w:rPr>
                            <w:t>54-73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B4ED5" id="_x0000_t202" coordsize="21600,21600" o:spt="202" path="m,l,21600r21600,l21600,xe">
              <v:stroke joinstyle="miter"/>
              <v:path gradientshapeok="t" o:connecttype="rect"/>
            </v:shapetype>
            <v:shape id="Cuadro de texto 6" o:spid="_x0000_s1026" type="#_x0000_t202" style="position:absolute;margin-left:318.85pt;margin-top:-371.4pt;width:190pt;height:123.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" fillcolor="white [3201]" stroked="f" strokeweight=".5pt">
              <v:textbox>
                <w:txbxContent>
                  <w:p w14:paraId="0554E93C"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Journal of Business and Entrepreneurship</w:t>
                    </w:r>
                  </w:p>
                  <w:p w14:paraId="77F458D4" w14:textId="0C0592EB" w:rsidR="00142782" w:rsidRDefault="00EE42F4" w:rsidP="00142782">
                    <w:pPr>
                      <w:keepNext/>
                      <w:keepLines/>
                      <w:spacing w:before="40"/>
                      <w:jc w:val="both"/>
                      <w:outlineLvl w:val="2"/>
                      <w:rPr>
                        <w:rFonts w:ascii="Gill Sans MT" w:eastAsiaTheme="majorEastAsia" w:hAnsi="Gill Sans MT" w:cstheme="minorHAnsi"/>
                        <w:sz w:val="18"/>
                        <w:szCs w:val="18"/>
                        <w:lang w:val="en-US"/>
                      </w:rPr>
                    </w:pPr>
                    <w:r>
                      <w:rPr>
                        <w:rFonts w:ascii="Gill Sans MT" w:eastAsiaTheme="majorEastAsia" w:hAnsi="Gill Sans MT" w:cstheme="minorHAnsi"/>
                        <w:sz w:val="18"/>
                        <w:szCs w:val="18"/>
                        <w:lang w:val="en-US"/>
                      </w:rPr>
                      <w:t>October - December</w:t>
                    </w:r>
                    <w:r w:rsidR="00F609CC">
                      <w:rPr>
                        <w:rFonts w:ascii="Gill Sans MT" w:eastAsiaTheme="majorEastAsia" w:hAnsi="Gill Sans MT" w:cstheme="minorHAnsi"/>
                        <w:sz w:val="18"/>
                        <w:szCs w:val="18"/>
                        <w:lang w:val="en-US"/>
                      </w:rPr>
                      <w:t xml:space="preserve">, </w:t>
                    </w:r>
                    <w:r w:rsidR="00142782" w:rsidRPr="00376AEE">
                      <w:rPr>
                        <w:rFonts w:ascii="Gill Sans MT" w:eastAsiaTheme="majorEastAsia" w:hAnsi="Gill Sans MT" w:cstheme="minorHAnsi"/>
                        <w:sz w:val="18"/>
                        <w:szCs w:val="18"/>
                        <w:lang w:val="en-US"/>
                      </w:rPr>
                      <w:t>Vol.</w:t>
                    </w:r>
                    <w:r w:rsidR="00FB1685">
                      <w:rPr>
                        <w:rFonts w:ascii="Gill Sans MT" w:eastAsiaTheme="majorEastAsia" w:hAnsi="Gill Sans MT" w:cstheme="minorHAnsi"/>
                        <w:sz w:val="18"/>
                        <w:szCs w:val="18"/>
                        <w:lang w:val="en-US"/>
                      </w:rPr>
                      <w:t xml:space="preserve"> 10</w:t>
                    </w:r>
                    <w:r w:rsidR="00142782" w:rsidRPr="00376AEE">
                      <w:rPr>
                        <w:rFonts w:ascii="Gill Sans MT" w:eastAsiaTheme="majorEastAsia" w:hAnsi="Gill Sans MT" w:cstheme="minorHAnsi"/>
                        <w:sz w:val="18"/>
                        <w:szCs w:val="18"/>
                        <w:lang w:val="en-US"/>
                      </w:rPr>
                      <w:t>, No.</w:t>
                    </w:r>
                    <w:r w:rsidR="00F609CC">
                      <w:rPr>
                        <w:rFonts w:ascii="Gill Sans MT" w:eastAsiaTheme="majorEastAsia" w:hAnsi="Gill Sans MT" w:cstheme="minorHAnsi"/>
                        <w:sz w:val="18"/>
                        <w:szCs w:val="18"/>
                        <w:lang w:val="en-US"/>
                      </w:rPr>
                      <w:t xml:space="preserve"> </w:t>
                    </w:r>
                    <w:r>
                      <w:rPr>
                        <w:rFonts w:ascii="Gill Sans MT" w:eastAsiaTheme="majorEastAsia" w:hAnsi="Gill Sans MT" w:cstheme="minorHAnsi"/>
                        <w:sz w:val="18"/>
                        <w:szCs w:val="18"/>
                        <w:lang w:val="en-US"/>
                      </w:rPr>
                      <w:t>4</w:t>
                    </w:r>
                    <w:r w:rsidR="00142782" w:rsidRPr="00376AEE">
                      <w:rPr>
                        <w:rFonts w:ascii="Gill Sans MT" w:eastAsiaTheme="majorEastAsia" w:hAnsi="Gill Sans MT" w:cstheme="minorHAnsi"/>
                        <w:sz w:val="18"/>
                        <w:szCs w:val="18"/>
                        <w:lang w:val="en-US"/>
                      </w:rPr>
                      <w:t>,</w:t>
                    </w:r>
                    <w:r w:rsidR="00FB1685">
                      <w:rPr>
                        <w:rFonts w:ascii="Gill Sans MT" w:eastAsiaTheme="majorEastAsia" w:hAnsi="Gill Sans MT" w:cstheme="minorHAnsi"/>
                        <w:sz w:val="18"/>
                        <w:szCs w:val="18"/>
                        <w:lang w:val="en-US"/>
                      </w:rPr>
                      <w:t xml:space="preserve"> 2026</w:t>
                    </w:r>
                  </w:p>
                  <w:p w14:paraId="60C64EE9" w14:textId="77777777" w:rsidR="00477CD8" w:rsidRDefault="00000000">
                    <w:pPr>
                      <w:keepNext/>
                      <w:keepLines/>
                      <w:spacing w:before="40"/>
                      <w:jc w:val="both"/>
                      <w:outlineLvl w:val="2"/>
                      <w:rPr>
                        <w:rFonts w:ascii="Gill Sans MT" w:eastAsiaTheme="majorEastAsia" w:hAnsi="Gill Sans MT" w:cstheme="minorHAnsi"/>
                        <w:sz w:val="18"/>
                        <w:szCs w:val="18"/>
                        <w:lang w:val="en-US"/>
                      </w:rPr>
                    </w:pPr>
                    <w:r w:rsidRPr="00376AEE">
                      <w:rPr>
                        <w:rFonts w:ascii="Gill Sans MT" w:eastAsiaTheme="majorEastAsia" w:hAnsi="Gill Sans MT" w:cstheme="minorHAnsi"/>
                        <w:sz w:val="18"/>
                        <w:szCs w:val="18"/>
                        <w:lang w:val="en-US"/>
                      </w:rPr>
                      <w:t>http://journalbusinesses.com/index.php/revista</w:t>
                    </w:r>
                  </w:p>
                  <w:p w14:paraId="32CE2D5E" w14:textId="77777777" w:rsidR="00477CD8" w:rsidRPr="00150A3D" w:rsidRDefault="00000000">
                    <w:pPr>
                      <w:keepNext/>
                      <w:keepLines/>
                      <w:spacing w:before="40"/>
                      <w:jc w:val="both"/>
                      <w:outlineLvl w:val="2"/>
                      <w:rPr>
                        <w:rFonts w:ascii="Gill Sans MT" w:eastAsiaTheme="majorEastAsia" w:hAnsi="Gill Sans MT" w:cstheme="minorHAnsi"/>
                        <w:sz w:val="18"/>
                        <w:szCs w:val="18"/>
                      </w:rPr>
                    </w:pPr>
                    <w:r w:rsidRPr="00150A3D">
                      <w:rPr>
                        <w:rFonts w:ascii="Gill Sans MT" w:eastAsiaTheme="majorEastAsia" w:hAnsi="Gill Sans MT" w:cstheme="minorHAnsi"/>
                        <w:sz w:val="18"/>
                        <w:szCs w:val="18"/>
                      </w:rPr>
                      <w:t>e-ISSN: 2576-0971</w:t>
                    </w:r>
                  </w:p>
                  <w:p w14:paraId="2AAF3821" w14:textId="77777777" w:rsidR="00477CD8" w:rsidRPr="00150A3D" w:rsidRDefault="00C52121">
                    <w:pPr>
                      <w:keepNext/>
                      <w:keepLines/>
                      <w:spacing w:before="40"/>
                      <w:jc w:val="both"/>
                      <w:outlineLvl w:val="2"/>
                      <w:rPr>
                        <w:rFonts w:ascii="Gill Sans MT" w:eastAsiaTheme="majorEastAsia" w:hAnsi="Gill Sans MT" w:cstheme="minorHAnsi"/>
                        <w:sz w:val="18"/>
                        <w:szCs w:val="18"/>
                        <w:lang w:eastAsia="en-US"/>
                      </w:rPr>
                    </w:pPr>
                    <w:hyperlink r:id="rId2" w:history="1">
                      <w:r w:rsidRPr="00150A3D">
                        <w:rPr>
                          <w:rFonts w:ascii="Gill Sans MT" w:eastAsiaTheme="majorEastAsia" w:hAnsi="Gill Sans MT" w:cstheme="minorHAnsi"/>
                          <w:sz w:val="18"/>
                          <w:szCs w:val="18"/>
                          <w:lang w:eastAsia="en-US"/>
                        </w:rPr>
                        <w:t xml:space="preserve"> journalbusinessentrepreneurial@gmail.com</w:t>
                      </w:r>
                    </w:hyperlink>
                  </w:p>
                  <w:p w14:paraId="1F0920AF" w14:textId="451982DA" w:rsidR="00477CD8" w:rsidRPr="001B79F3" w:rsidRDefault="00000000">
                    <w:pPr>
                      <w:keepNext/>
                      <w:keepLines/>
                      <w:spacing w:before="40"/>
                      <w:jc w:val="both"/>
                      <w:outlineLvl w:val="2"/>
                      <w:rPr>
                        <w:rFonts w:ascii="Gill Sans MT" w:eastAsiaTheme="majorEastAsia" w:hAnsi="Gill Sans MT" w:cstheme="minorHAnsi"/>
                        <w:sz w:val="18"/>
                        <w:szCs w:val="18"/>
                      </w:rPr>
                    </w:pPr>
                    <w:r w:rsidRPr="001B79F3">
                      <w:rPr>
                        <w:rFonts w:ascii="Gill Sans MT" w:eastAsiaTheme="majorEastAsia" w:hAnsi="Gill Sans MT" w:cstheme="minorHAnsi"/>
                        <w:sz w:val="18"/>
                        <w:szCs w:val="18"/>
                      </w:rPr>
                      <w:t xml:space="preserve">Received: </w:t>
                    </w:r>
                    <w:r w:rsidR="00EE42F4" w:rsidRPr="001B79F3">
                      <w:rPr>
                        <w:rFonts w:ascii="Gill Sans MT" w:eastAsiaTheme="majorEastAsia" w:hAnsi="Gill Sans MT" w:cstheme="minorHAnsi"/>
                        <w:sz w:val="18"/>
                        <w:szCs w:val="18"/>
                      </w:rPr>
                      <w:t>Ju</w:t>
                    </w:r>
                    <w:r w:rsidR="00FD5CA3" w:rsidRPr="001B79F3">
                      <w:rPr>
                        <w:rFonts w:ascii="Gill Sans MT" w:eastAsiaTheme="majorEastAsia" w:hAnsi="Gill Sans MT" w:cstheme="minorHAnsi"/>
                        <w:sz w:val="18"/>
                        <w:szCs w:val="18"/>
                      </w:rPr>
                      <w:t>ne</w:t>
                    </w:r>
                    <w:r w:rsidR="009D2121" w:rsidRPr="001B79F3">
                      <w:rPr>
                        <w:rFonts w:ascii="Gill Sans MT" w:eastAsiaTheme="majorEastAsia" w:hAnsi="Gill Sans MT" w:cstheme="minorHAnsi"/>
                        <w:sz w:val="18"/>
                        <w:szCs w:val="18"/>
                      </w:rPr>
                      <w:t xml:space="preserve"> </w:t>
                    </w:r>
                    <w:r w:rsidR="00335146" w:rsidRPr="001B79F3">
                      <w:rPr>
                        <w:rFonts w:ascii="Gill Sans MT" w:eastAsiaTheme="majorEastAsia" w:hAnsi="Gill Sans MT" w:cstheme="minorHAnsi"/>
                        <w:sz w:val="18"/>
                        <w:szCs w:val="18"/>
                      </w:rPr>
                      <w:t>2</w:t>
                    </w:r>
                    <w:r w:rsidR="00FD5CA3" w:rsidRPr="001B79F3">
                      <w:rPr>
                        <w:rFonts w:ascii="Gill Sans MT" w:eastAsiaTheme="majorEastAsia" w:hAnsi="Gill Sans MT" w:cstheme="minorHAnsi"/>
                        <w:sz w:val="18"/>
                        <w:szCs w:val="18"/>
                      </w:rPr>
                      <w:t>8</w:t>
                    </w:r>
                    <w:r w:rsidR="009D2121" w:rsidRPr="001B79F3">
                      <w:rPr>
                        <w:rFonts w:ascii="Gill Sans MT" w:eastAsiaTheme="majorEastAsia" w:hAnsi="Gill Sans MT" w:cstheme="minorHAnsi"/>
                        <w:sz w:val="18"/>
                        <w:szCs w:val="18"/>
                      </w:rPr>
                      <w:t>,</w:t>
                    </w:r>
                    <w:r w:rsidR="00F609CC" w:rsidRPr="001B79F3">
                      <w:rPr>
                        <w:rFonts w:ascii="Gill Sans MT" w:eastAsiaTheme="majorEastAsia" w:hAnsi="Gill Sans MT" w:cstheme="minorHAnsi"/>
                        <w:sz w:val="18"/>
                        <w:szCs w:val="18"/>
                      </w:rPr>
                      <w:t xml:space="preserve"> 2026</w:t>
                    </w:r>
                  </w:p>
                  <w:p w14:paraId="3C37931F" w14:textId="170348CE"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Approved:</w:t>
                    </w:r>
                    <w:r w:rsidR="00EE42F4">
                      <w:rPr>
                        <w:rFonts w:ascii="Gill Sans MT" w:eastAsiaTheme="majorEastAsia" w:hAnsi="Gill Sans MT" w:cstheme="minorHAnsi"/>
                        <w:sz w:val="18"/>
                        <w:szCs w:val="18"/>
                        <w:lang w:val="en-US"/>
                      </w:rPr>
                      <w:t xml:space="preserve"> September</w:t>
                    </w:r>
                    <w:r w:rsidR="0047105B">
                      <w:rPr>
                        <w:rFonts w:ascii="Gill Sans MT" w:eastAsiaTheme="majorEastAsia" w:hAnsi="Gill Sans MT" w:cstheme="minorHAnsi"/>
                        <w:sz w:val="18"/>
                        <w:szCs w:val="18"/>
                        <w:lang w:val="en-US"/>
                      </w:rPr>
                      <w:t xml:space="preserve"> </w:t>
                    </w:r>
                    <w:r w:rsidR="00335146">
                      <w:rPr>
                        <w:rFonts w:ascii="Gill Sans MT" w:eastAsiaTheme="majorEastAsia" w:hAnsi="Gill Sans MT" w:cstheme="minorHAnsi"/>
                        <w:sz w:val="18"/>
                        <w:szCs w:val="18"/>
                        <w:lang w:val="en-US"/>
                      </w:rPr>
                      <w:t>30</w:t>
                    </w:r>
                    <w:r w:rsidR="0047105B">
                      <w:rPr>
                        <w:rFonts w:ascii="Gill Sans MT" w:eastAsiaTheme="majorEastAsia" w:hAnsi="Gill Sans MT" w:cstheme="minorHAnsi"/>
                        <w:sz w:val="18"/>
                        <w:szCs w:val="18"/>
                        <w:lang w:val="en-US"/>
                      </w:rPr>
                      <w:t>,</w:t>
                    </w:r>
                    <w:r w:rsidR="003D3AC7">
                      <w:rPr>
                        <w:rFonts w:ascii="Gill Sans MT" w:eastAsiaTheme="majorEastAsia" w:hAnsi="Gill Sans MT" w:cstheme="minorHAnsi"/>
                        <w:sz w:val="18"/>
                        <w:szCs w:val="18"/>
                        <w:lang w:val="en-US"/>
                      </w:rPr>
                      <w:t xml:space="preserve"> 2026</w:t>
                    </w:r>
                  </w:p>
                  <w:p w14:paraId="3B13D2EB" w14:textId="0ADC25FD" w:rsidR="00477CD8" w:rsidRDefault="00000000">
                    <w:pPr>
                      <w:keepNext/>
                      <w:keepLines/>
                      <w:spacing w:before="40"/>
                      <w:jc w:val="both"/>
                      <w:outlineLvl w:val="2"/>
                      <w:rPr>
                        <w:rFonts w:ascii="Gill Sans MT" w:eastAsiaTheme="majorEastAsia" w:hAnsi="Gill Sans MT" w:cstheme="minorHAnsi"/>
                        <w:sz w:val="18"/>
                        <w:szCs w:val="18"/>
                        <w:lang w:val="en-US"/>
                      </w:rPr>
                    </w:pPr>
                    <w:r w:rsidRPr="00E94595">
                      <w:rPr>
                        <w:rFonts w:ascii="Gill Sans MT" w:eastAsiaTheme="majorEastAsia" w:hAnsi="Gill Sans MT" w:cstheme="minorHAnsi"/>
                        <w:sz w:val="18"/>
                        <w:szCs w:val="18"/>
                        <w:lang w:val="en-US"/>
                      </w:rPr>
                      <w:t>Pages</w:t>
                    </w:r>
                    <w:r w:rsidR="00484AFB">
                      <w:rPr>
                        <w:rFonts w:ascii="Gill Sans MT" w:eastAsiaTheme="majorEastAsia" w:hAnsi="Gill Sans MT" w:cstheme="minorHAnsi"/>
                        <w:sz w:val="18"/>
                        <w:szCs w:val="18"/>
                        <w:lang w:val="en-US"/>
                      </w:rPr>
                      <w:t xml:space="preserve"> </w:t>
                    </w:r>
                    <w:r w:rsidR="0039059E">
                      <w:rPr>
                        <w:rFonts w:ascii="Gill Sans MT" w:eastAsiaTheme="majorEastAsia" w:hAnsi="Gill Sans MT" w:cstheme="minorHAnsi"/>
                        <w:sz w:val="18"/>
                        <w:szCs w:val="18"/>
                        <w:lang w:val="en-US"/>
                      </w:rPr>
                      <w:t>54-73</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1F2F2" w14:textId="77777777" w:rsidR="001E50C2" w:rsidRDefault="001E50C2" w:rsidP="00376AEE">
      <w:r>
        <w:separator/>
      </w:r>
    </w:p>
  </w:footnote>
  <w:footnote w:type="continuationSeparator" w:id="0">
    <w:p w14:paraId="21065966" w14:textId="77777777" w:rsidR="001E50C2" w:rsidRDefault="001E50C2" w:rsidP="00376AEE">
      <w:r>
        <w:continuationSeparator/>
      </w:r>
    </w:p>
  </w:footnote>
  <w:footnote w:id="1">
    <w:p w14:paraId="03F515CF" w14:textId="038FE186" w:rsidR="001B79F3" w:rsidRPr="001B79F3" w:rsidRDefault="001B79F3" w:rsidP="001B79F3">
      <w:pPr>
        <w:ind w:right="2010"/>
        <w:rPr>
          <w:rFonts w:ascii="-webkit-standard" w:hAnsi="-webkit-standard"/>
          <w:color w:val="000000" w:themeColor="text1"/>
          <w:sz w:val="18"/>
          <w:szCs w:val="18"/>
        </w:rPr>
      </w:pPr>
      <w:r w:rsidRPr="001B79F3">
        <w:rPr>
          <w:rStyle w:val="Refdenotaalpie"/>
          <w:color w:val="000000" w:themeColor="text1"/>
        </w:rPr>
        <w:footnoteRef/>
      </w:r>
      <w:r w:rsidRPr="001B79F3">
        <w:rPr>
          <w:rFonts w:ascii="Gill Sans MT" w:hAnsi="Gill Sans MT"/>
          <w:color w:val="000000" w:themeColor="text1"/>
          <w:sz w:val="15"/>
          <w:szCs w:val="15"/>
        </w:rPr>
        <w:t>Universidad Técnica Estatal de Quevedo </w:t>
      </w:r>
      <w:hyperlink r:id="rId1" w:history="1">
        <w:r w:rsidRPr="001B79F3">
          <w:rPr>
            <w:rFonts w:ascii="Gill Sans MT" w:hAnsi="Gill Sans MT"/>
            <w:color w:val="000000" w:themeColor="text1"/>
            <w:sz w:val="15"/>
            <w:szCs w:val="15"/>
          </w:rPr>
          <w:t>mbarzolaj@uteq.edu.ec</w:t>
        </w:r>
      </w:hyperlink>
    </w:p>
    <w:p w14:paraId="6C5250E8" w14:textId="7777777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https://orcid.org/0000-0002-4928-3326</w:t>
      </w:r>
    </w:p>
    <w:p w14:paraId="606CC636" w14:textId="77777777" w:rsidR="001B79F3" w:rsidRPr="001B79F3" w:rsidRDefault="001B79F3" w:rsidP="001B79F3">
      <w:pPr>
        <w:ind w:right="2010"/>
        <w:rPr>
          <w:rFonts w:ascii="Gill Sans MT" w:hAnsi="Gill Sans MT"/>
          <w:b/>
          <w:bCs/>
          <w:color w:val="000000" w:themeColor="text1"/>
          <w:sz w:val="15"/>
          <w:szCs w:val="15"/>
        </w:rPr>
      </w:pPr>
    </w:p>
    <w:p w14:paraId="11964994" w14:textId="29A9569E"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Universidad Técnica Estatal de Quevedo </w:t>
      </w:r>
      <w:hyperlink r:id="rId2" w:history="1">
        <w:r w:rsidRPr="001B79F3">
          <w:rPr>
            <w:rFonts w:ascii="Gill Sans MT" w:hAnsi="Gill Sans MT"/>
            <w:color w:val="000000" w:themeColor="text1"/>
            <w:sz w:val="15"/>
            <w:szCs w:val="15"/>
          </w:rPr>
          <w:t>jmaldonado@uteq.edu.ec</w:t>
        </w:r>
      </w:hyperlink>
    </w:p>
    <w:p w14:paraId="4D915C20" w14:textId="7777777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https://orcid.org/0000-0003-1531-769521</w:t>
      </w:r>
    </w:p>
    <w:p w14:paraId="4BEFD359" w14:textId="77777777" w:rsidR="001B79F3" w:rsidRPr="001B79F3" w:rsidRDefault="001B79F3" w:rsidP="001B79F3">
      <w:pPr>
        <w:ind w:right="2010"/>
        <w:rPr>
          <w:rFonts w:ascii="Gill Sans MT" w:hAnsi="Gill Sans MT"/>
          <w:b/>
          <w:bCs/>
          <w:color w:val="000000" w:themeColor="text1"/>
          <w:sz w:val="15"/>
          <w:szCs w:val="15"/>
        </w:rPr>
      </w:pPr>
    </w:p>
    <w:p w14:paraId="6C99C250" w14:textId="47FCE52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Universidad Técnica Estatal de Quevedo </w:t>
      </w:r>
      <w:hyperlink r:id="rId3" w:history="1">
        <w:r w:rsidRPr="001B79F3">
          <w:rPr>
            <w:rFonts w:ascii="Gill Sans MT" w:hAnsi="Gill Sans MT"/>
            <w:color w:val="000000" w:themeColor="text1"/>
            <w:sz w:val="15"/>
            <w:szCs w:val="15"/>
          </w:rPr>
          <w:t>amaldonadoc@uteq.edu.ec</w:t>
        </w:r>
      </w:hyperlink>
    </w:p>
    <w:p w14:paraId="61C05F70" w14:textId="7777777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https://orcid.org/0000-0001-6478-7365</w:t>
      </w:r>
    </w:p>
    <w:p w14:paraId="2C1A2694" w14:textId="70C7D04B" w:rsidR="001B79F3" w:rsidRPr="001B79F3" w:rsidRDefault="001B79F3" w:rsidP="001B79F3">
      <w:pPr>
        <w:ind w:right="2010"/>
        <w:rPr>
          <w:rFonts w:ascii="-webkit-standard" w:hAnsi="-webkit-standard"/>
          <w:color w:val="000000" w:themeColor="text1"/>
          <w:sz w:val="18"/>
          <w:szCs w:val="18"/>
        </w:rPr>
      </w:pPr>
    </w:p>
    <w:p w14:paraId="0246BBE9" w14:textId="7777777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Universidad Técnica Estatal de Quevedo  </w:t>
      </w:r>
      <w:hyperlink r:id="rId4" w:history="1">
        <w:r w:rsidRPr="001B79F3">
          <w:rPr>
            <w:rFonts w:ascii="Gill Sans MT" w:hAnsi="Gill Sans MT"/>
            <w:color w:val="000000" w:themeColor="text1"/>
            <w:sz w:val="15"/>
            <w:szCs w:val="15"/>
          </w:rPr>
          <w:t>ejumbof@uteq.edu.ec</w:t>
        </w:r>
      </w:hyperlink>
    </w:p>
    <w:p w14:paraId="6EA37956" w14:textId="77777777" w:rsidR="001B79F3" w:rsidRPr="001B79F3" w:rsidRDefault="001B79F3" w:rsidP="001B79F3">
      <w:pPr>
        <w:ind w:right="2010"/>
        <w:rPr>
          <w:rFonts w:ascii="-webkit-standard" w:hAnsi="-webkit-standard"/>
          <w:color w:val="000000" w:themeColor="text1"/>
          <w:sz w:val="18"/>
          <w:szCs w:val="18"/>
        </w:rPr>
      </w:pPr>
      <w:r w:rsidRPr="001B79F3">
        <w:rPr>
          <w:rFonts w:ascii="Gill Sans MT" w:hAnsi="Gill Sans MT"/>
          <w:color w:val="000000" w:themeColor="text1"/>
          <w:sz w:val="15"/>
          <w:szCs w:val="15"/>
        </w:rPr>
        <w:t>https://orcid.org/0009-0002-6684-2254</w:t>
      </w:r>
    </w:p>
    <w:p w14:paraId="378F4902" w14:textId="1072D215" w:rsidR="001B79F3" w:rsidRPr="001B79F3" w:rsidRDefault="001B79F3">
      <w:pPr>
        <w:pStyle w:val="Textonotapie"/>
        <w:rPr>
          <w:lang w:val="es-ES_tradn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EE45" w14:textId="77777777" w:rsidR="00477CD8" w:rsidRDefault="00000000">
    <w:pPr>
      <w:pStyle w:val="Encabezado"/>
    </w:pPr>
    <w:r>
      <w:rPr>
        <w:noProof/>
        <w:lang w:val="en-US" w:eastAsia="en-US"/>
      </w:rPr>
      <w:drawing>
        <wp:anchor distT="0" distB="0" distL="114300" distR="114300" simplePos="0" relativeHeight="251665408" behindDoc="1" locked="0" layoutInCell="1" allowOverlap="1" wp14:anchorId="011E8B52" wp14:editId="0BD379F2">
          <wp:simplePos x="0" y="0"/>
          <wp:positionH relativeFrom="column">
            <wp:posOffset>-963757</wp:posOffset>
          </wp:positionH>
          <wp:positionV relativeFrom="paragraph">
            <wp:posOffset>-333203</wp:posOffset>
          </wp:positionV>
          <wp:extent cx="7365077" cy="10405063"/>
          <wp:effectExtent l="0" t="0" r="127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ondo de artículo-03.png"/>
                  <pic:cNvPicPr/>
                </pic:nvPicPr>
                <pic:blipFill>
                  <a:blip r:embed="rId1">
                    <a:extLst>
                      <a:ext uri="{28A0092B-C50C-407E-A947-70E740481C1C}">
                        <a14:useLocalDpi xmlns:a14="http://schemas.microsoft.com/office/drawing/2010/main" val="0"/>
                      </a:ext>
                    </a:extLst>
                  </a:blip>
                  <a:stretch>
                    <a:fillRect/>
                  </a:stretch>
                </pic:blipFill>
                <pic:spPr>
                  <a:xfrm>
                    <a:off x="0" y="0"/>
                    <a:ext cx="7374994" cy="10419074"/>
                  </a:xfrm>
                  <a:prstGeom prst="rect">
                    <a:avLst/>
                  </a:prstGeom>
                </pic:spPr>
              </pic:pic>
            </a:graphicData>
          </a:graphic>
          <wp14:sizeRelH relativeFrom="page">
            <wp14:pctWidth>0</wp14:pctWidth>
          </wp14:sizeRelH>
          <wp14:sizeRelV relativeFrom="page">
            <wp14:pctHeight>0</wp14:pctHeight>
          </wp14:sizeRelV>
        </wp:anchor>
      </w:drawing>
    </w:r>
  </w:p>
  <w:p w14:paraId="4255A243" w14:textId="77777777" w:rsidR="00DF1B8E" w:rsidRDefault="00DF1B8E"/>
  <w:p w14:paraId="6A3EABF8" w14:textId="77777777" w:rsidR="00CB71CE" w:rsidRDefault="00CB71CE"/>
  <w:p w14:paraId="01583BD0" w14:textId="77777777" w:rsidR="00410C1A" w:rsidRDefault="00410C1A"/>
  <w:p w14:paraId="30FB5190" w14:textId="77777777" w:rsidR="00410C1A" w:rsidRDefault="00410C1A"/>
  <w:p w14:paraId="3474C13B" w14:textId="77777777" w:rsidR="005A1ADC" w:rsidRDefault="005A1ADC"/>
  <w:p w14:paraId="7E25B116" w14:textId="77777777" w:rsidR="005A1ADC" w:rsidRDefault="005A1ADC"/>
  <w:p w14:paraId="0707877A" w14:textId="77777777" w:rsidR="005A1ADC" w:rsidRDefault="005A1AD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9C3672" w14:textId="77777777" w:rsidR="00477CD8" w:rsidRDefault="00000000">
    <w:pPr>
      <w:pStyle w:val="Encabezado"/>
    </w:pPr>
    <w:r>
      <w:rPr>
        <w:noProof/>
        <w:lang w:val="en-US" w:eastAsia="en-US"/>
      </w:rPr>
      <w:drawing>
        <wp:anchor distT="0" distB="0" distL="114300" distR="114300" simplePos="0" relativeHeight="251667456" behindDoc="1" locked="0" layoutInCell="1" allowOverlap="1" wp14:anchorId="4AF9F263" wp14:editId="71D48B27">
          <wp:simplePos x="0" y="0"/>
          <wp:positionH relativeFrom="column">
            <wp:posOffset>-972185</wp:posOffset>
          </wp:positionH>
          <wp:positionV relativeFrom="paragraph">
            <wp:posOffset>-407035</wp:posOffset>
          </wp:positionV>
          <wp:extent cx="7339117" cy="10386000"/>
          <wp:effectExtent l="0" t="0" r="1905"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ndo de artículo-02.png"/>
                  <pic:cNvPicPr/>
                </pic:nvPicPr>
                <pic:blipFill>
                  <a:blip r:embed="rId1">
                    <a:extLst>
                      <a:ext uri="{28A0092B-C50C-407E-A947-70E740481C1C}">
                        <a14:useLocalDpi xmlns:a14="http://schemas.microsoft.com/office/drawing/2010/main" val="0"/>
                      </a:ext>
                    </a:extLst>
                  </a:blip>
                  <a:stretch>
                    <a:fillRect/>
                  </a:stretch>
                </pic:blipFill>
                <pic:spPr>
                  <a:xfrm>
                    <a:off x="0" y="0"/>
                    <a:ext cx="7339117" cy="1038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2A5DEA"/>
    <w:multiLevelType w:val="multilevel"/>
    <w:tmpl w:val="67B4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81F3F"/>
    <w:multiLevelType w:val="hybridMultilevel"/>
    <w:tmpl w:val="574C8A82"/>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2" w15:restartNumberingAfterBreak="0">
    <w:nsid w:val="08F665DA"/>
    <w:multiLevelType w:val="hybridMultilevel"/>
    <w:tmpl w:val="658AFAE6"/>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3" w15:restartNumberingAfterBreak="0">
    <w:nsid w:val="154E0742"/>
    <w:multiLevelType w:val="multilevel"/>
    <w:tmpl w:val="61DCA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C7407"/>
    <w:multiLevelType w:val="multilevel"/>
    <w:tmpl w:val="16AC7407"/>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281E35B6"/>
    <w:multiLevelType w:val="hybridMultilevel"/>
    <w:tmpl w:val="88F6C340"/>
    <w:lvl w:ilvl="0" w:tplc="040A000F">
      <w:start w:val="1"/>
      <w:numFmt w:val="decimal"/>
      <w:lvlText w:val="%1."/>
      <w:lvlJc w:val="left"/>
      <w:pPr>
        <w:ind w:left="1212" w:hanging="360"/>
      </w:pPr>
    </w:lvl>
    <w:lvl w:ilvl="1" w:tplc="040A0019">
      <w:start w:val="1"/>
      <w:numFmt w:val="lowerLetter"/>
      <w:lvlText w:val="%2."/>
      <w:lvlJc w:val="left"/>
      <w:pPr>
        <w:ind w:left="1932" w:hanging="360"/>
      </w:pPr>
    </w:lvl>
    <w:lvl w:ilvl="2" w:tplc="040A001B">
      <w:start w:val="1"/>
      <w:numFmt w:val="lowerRoman"/>
      <w:lvlText w:val="%3."/>
      <w:lvlJc w:val="right"/>
      <w:pPr>
        <w:ind w:left="2652" w:hanging="180"/>
      </w:pPr>
    </w:lvl>
    <w:lvl w:ilvl="3" w:tplc="040A000F">
      <w:start w:val="1"/>
      <w:numFmt w:val="decimal"/>
      <w:lvlText w:val="%4."/>
      <w:lvlJc w:val="left"/>
      <w:pPr>
        <w:ind w:left="3372" w:hanging="360"/>
      </w:pPr>
    </w:lvl>
    <w:lvl w:ilvl="4" w:tplc="040A0019">
      <w:start w:val="1"/>
      <w:numFmt w:val="lowerLetter"/>
      <w:lvlText w:val="%5."/>
      <w:lvlJc w:val="left"/>
      <w:pPr>
        <w:ind w:left="4092" w:hanging="360"/>
      </w:pPr>
    </w:lvl>
    <w:lvl w:ilvl="5" w:tplc="040A001B">
      <w:start w:val="1"/>
      <w:numFmt w:val="lowerRoman"/>
      <w:lvlText w:val="%6."/>
      <w:lvlJc w:val="right"/>
      <w:pPr>
        <w:ind w:left="4812" w:hanging="180"/>
      </w:pPr>
    </w:lvl>
    <w:lvl w:ilvl="6" w:tplc="040A000F">
      <w:start w:val="1"/>
      <w:numFmt w:val="decimal"/>
      <w:lvlText w:val="%7."/>
      <w:lvlJc w:val="left"/>
      <w:pPr>
        <w:ind w:left="5532" w:hanging="360"/>
      </w:pPr>
    </w:lvl>
    <w:lvl w:ilvl="7" w:tplc="040A0019">
      <w:start w:val="1"/>
      <w:numFmt w:val="lowerLetter"/>
      <w:lvlText w:val="%8."/>
      <w:lvlJc w:val="left"/>
      <w:pPr>
        <w:ind w:left="6252" w:hanging="360"/>
      </w:pPr>
    </w:lvl>
    <w:lvl w:ilvl="8" w:tplc="040A001B">
      <w:start w:val="1"/>
      <w:numFmt w:val="lowerRoman"/>
      <w:lvlText w:val="%9."/>
      <w:lvlJc w:val="right"/>
      <w:pPr>
        <w:ind w:left="6972" w:hanging="180"/>
      </w:pPr>
    </w:lvl>
  </w:abstractNum>
  <w:abstractNum w:abstractNumId="6" w15:restartNumberingAfterBreak="0">
    <w:nsid w:val="2A8F5C81"/>
    <w:multiLevelType w:val="hybridMultilevel"/>
    <w:tmpl w:val="1ACE9F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D0C66BA"/>
    <w:multiLevelType w:val="hybridMultilevel"/>
    <w:tmpl w:val="954273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F440F52"/>
    <w:multiLevelType w:val="hybridMultilevel"/>
    <w:tmpl w:val="D3920B4A"/>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9" w15:restartNumberingAfterBreak="0">
    <w:nsid w:val="3A620E37"/>
    <w:multiLevelType w:val="multilevel"/>
    <w:tmpl w:val="C5E682BC"/>
    <w:lvl w:ilvl="0">
      <w:start w:val="1"/>
      <w:numFmt w:val="decimal"/>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rPr>
        <w:b/>
        <w:color w:val="auto"/>
      </w:r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0" w15:restartNumberingAfterBreak="0">
    <w:nsid w:val="42696937"/>
    <w:multiLevelType w:val="hybridMultilevel"/>
    <w:tmpl w:val="E03CF52E"/>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43512F75"/>
    <w:multiLevelType w:val="hybridMultilevel"/>
    <w:tmpl w:val="B6C67204"/>
    <w:lvl w:ilvl="0" w:tplc="080A0005">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C0409A9"/>
    <w:multiLevelType w:val="hybridMultilevel"/>
    <w:tmpl w:val="A0CC1DE8"/>
    <w:lvl w:ilvl="0" w:tplc="FFFFFFFF">
      <w:start w:val="1"/>
      <w:numFmt w:val="decimal"/>
      <w:lvlText w:val="%1."/>
      <w:lvlJc w:val="left"/>
      <w:pPr>
        <w:ind w:left="780" w:hanging="360"/>
      </w:p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3" w15:restartNumberingAfterBreak="0">
    <w:nsid w:val="4C470626"/>
    <w:multiLevelType w:val="multilevel"/>
    <w:tmpl w:val="0C080658"/>
    <w:styleLink w:val="Nmero"/>
    <w:lvl w:ilvl="0">
      <w:start w:val="1"/>
      <w:numFmt w:val="decimal"/>
      <w:lvlText w:val="%1."/>
      <w:lvlJc w:val="left"/>
      <w:pPr>
        <w:tabs>
          <w:tab w:val="num" w:pos="393"/>
        </w:tabs>
        <w:ind w:left="393" w:hanging="393"/>
      </w:pPr>
      <w:rPr>
        <w:rFonts w:ascii="Arial" w:eastAsia="Arial" w:hAnsi="Arial" w:cs="Arial"/>
        <w:position w:val="0"/>
        <w:sz w:val="24"/>
        <w:szCs w:val="24"/>
      </w:rPr>
    </w:lvl>
    <w:lvl w:ilvl="1">
      <w:start w:val="1"/>
      <w:numFmt w:val="decimal"/>
      <w:lvlText w:val="%2."/>
      <w:lvlJc w:val="left"/>
      <w:pPr>
        <w:tabs>
          <w:tab w:val="num" w:pos="753"/>
        </w:tabs>
        <w:ind w:left="753" w:hanging="393"/>
      </w:pPr>
      <w:rPr>
        <w:rFonts w:ascii="Arial" w:eastAsia="Arial" w:hAnsi="Arial" w:cs="Arial"/>
        <w:position w:val="0"/>
        <w:sz w:val="24"/>
        <w:szCs w:val="24"/>
      </w:rPr>
    </w:lvl>
    <w:lvl w:ilvl="2">
      <w:start w:val="1"/>
      <w:numFmt w:val="decimal"/>
      <w:lvlText w:val="%3."/>
      <w:lvlJc w:val="left"/>
      <w:pPr>
        <w:tabs>
          <w:tab w:val="num" w:pos="1113"/>
        </w:tabs>
        <w:ind w:left="1113" w:hanging="393"/>
      </w:pPr>
      <w:rPr>
        <w:rFonts w:ascii="Arial" w:eastAsia="Arial" w:hAnsi="Arial" w:cs="Arial"/>
        <w:position w:val="0"/>
        <w:sz w:val="24"/>
        <w:szCs w:val="24"/>
      </w:rPr>
    </w:lvl>
    <w:lvl w:ilvl="3">
      <w:start w:val="1"/>
      <w:numFmt w:val="decimal"/>
      <w:lvlText w:val="%4."/>
      <w:lvlJc w:val="left"/>
      <w:pPr>
        <w:tabs>
          <w:tab w:val="num" w:pos="1473"/>
        </w:tabs>
        <w:ind w:left="1473" w:hanging="393"/>
      </w:pPr>
      <w:rPr>
        <w:rFonts w:ascii="Arial" w:eastAsia="Arial" w:hAnsi="Arial" w:cs="Arial"/>
        <w:position w:val="0"/>
        <w:sz w:val="24"/>
        <w:szCs w:val="24"/>
      </w:rPr>
    </w:lvl>
    <w:lvl w:ilvl="4">
      <w:start w:val="1"/>
      <w:numFmt w:val="decimal"/>
      <w:lvlText w:val="%5."/>
      <w:lvlJc w:val="left"/>
      <w:pPr>
        <w:tabs>
          <w:tab w:val="num" w:pos="1833"/>
        </w:tabs>
        <w:ind w:left="1833" w:hanging="393"/>
      </w:pPr>
      <w:rPr>
        <w:rFonts w:ascii="Arial" w:eastAsia="Arial" w:hAnsi="Arial" w:cs="Arial"/>
        <w:position w:val="0"/>
        <w:sz w:val="24"/>
        <w:szCs w:val="24"/>
      </w:rPr>
    </w:lvl>
    <w:lvl w:ilvl="5">
      <w:start w:val="1"/>
      <w:numFmt w:val="decimal"/>
      <w:lvlText w:val="%6."/>
      <w:lvlJc w:val="left"/>
      <w:pPr>
        <w:tabs>
          <w:tab w:val="num" w:pos="2193"/>
        </w:tabs>
        <w:ind w:left="2193" w:hanging="393"/>
      </w:pPr>
      <w:rPr>
        <w:rFonts w:ascii="Arial" w:eastAsia="Arial" w:hAnsi="Arial" w:cs="Arial"/>
        <w:position w:val="0"/>
        <w:sz w:val="24"/>
        <w:szCs w:val="24"/>
      </w:rPr>
    </w:lvl>
    <w:lvl w:ilvl="6">
      <w:start w:val="1"/>
      <w:numFmt w:val="decimal"/>
      <w:lvlText w:val="%7."/>
      <w:lvlJc w:val="left"/>
      <w:pPr>
        <w:tabs>
          <w:tab w:val="num" w:pos="2553"/>
        </w:tabs>
        <w:ind w:left="2553" w:hanging="393"/>
      </w:pPr>
      <w:rPr>
        <w:rFonts w:ascii="Arial" w:eastAsia="Arial" w:hAnsi="Arial" w:cs="Arial"/>
        <w:position w:val="0"/>
        <w:sz w:val="24"/>
        <w:szCs w:val="24"/>
      </w:rPr>
    </w:lvl>
    <w:lvl w:ilvl="7">
      <w:start w:val="1"/>
      <w:numFmt w:val="decimal"/>
      <w:lvlText w:val="%8."/>
      <w:lvlJc w:val="left"/>
      <w:pPr>
        <w:tabs>
          <w:tab w:val="num" w:pos="2913"/>
        </w:tabs>
        <w:ind w:left="2913" w:hanging="393"/>
      </w:pPr>
      <w:rPr>
        <w:rFonts w:ascii="Arial" w:eastAsia="Arial" w:hAnsi="Arial" w:cs="Arial"/>
        <w:position w:val="0"/>
        <w:sz w:val="24"/>
        <w:szCs w:val="24"/>
      </w:rPr>
    </w:lvl>
    <w:lvl w:ilvl="8">
      <w:start w:val="1"/>
      <w:numFmt w:val="decimal"/>
      <w:lvlText w:val="%9."/>
      <w:lvlJc w:val="left"/>
      <w:pPr>
        <w:tabs>
          <w:tab w:val="num" w:pos="3273"/>
        </w:tabs>
        <w:ind w:left="3273" w:hanging="393"/>
      </w:pPr>
      <w:rPr>
        <w:rFonts w:ascii="Arial" w:eastAsia="Arial" w:hAnsi="Arial" w:cs="Arial"/>
        <w:position w:val="0"/>
        <w:sz w:val="24"/>
        <w:szCs w:val="24"/>
      </w:rPr>
    </w:lvl>
  </w:abstractNum>
  <w:abstractNum w:abstractNumId="14" w15:restartNumberingAfterBreak="0">
    <w:nsid w:val="51D40774"/>
    <w:multiLevelType w:val="hybridMultilevel"/>
    <w:tmpl w:val="45E60C42"/>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527759EE"/>
    <w:multiLevelType w:val="hybridMultilevel"/>
    <w:tmpl w:val="892E0C5C"/>
    <w:lvl w:ilvl="0" w:tplc="300A0001">
      <w:start w:val="1"/>
      <w:numFmt w:val="bullet"/>
      <w:lvlText w:val=""/>
      <w:lvlJc w:val="left"/>
      <w:pPr>
        <w:ind w:left="1287" w:hanging="360"/>
      </w:pPr>
      <w:rPr>
        <w:rFonts w:ascii="Symbol" w:hAnsi="Symbol"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16" w15:restartNumberingAfterBreak="0">
    <w:nsid w:val="52F2490C"/>
    <w:multiLevelType w:val="hybridMultilevel"/>
    <w:tmpl w:val="E03CF52E"/>
    <w:lvl w:ilvl="0" w:tplc="300A000F">
      <w:start w:val="1"/>
      <w:numFmt w:val="decimal"/>
      <w:lvlText w:val="%1."/>
      <w:lvlJc w:val="left"/>
      <w:pPr>
        <w:ind w:left="780" w:hanging="360"/>
      </w:pPr>
    </w:lvl>
    <w:lvl w:ilvl="1" w:tplc="300A0019" w:tentative="1">
      <w:start w:val="1"/>
      <w:numFmt w:val="lowerLetter"/>
      <w:lvlText w:val="%2."/>
      <w:lvlJc w:val="left"/>
      <w:pPr>
        <w:ind w:left="1500" w:hanging="360"/>
      </w:pPr>
    </w:lvl>
    <w:lvl w:ilvl="2" w:tplc="300A001B" w:tentative="1">
      <w:start w:val="1"/>
      <w:numFmt w:val="lowerRoman"/>
      <w:lvlText w:val="%3."/>
      <w:lvlJc w:val="right"/>
      <w:pPr>
        <w:ind w:left="2220" w:hanging="180"/>
      </w:pPr>
    </w:lvl>
    <w:lvl w:ilvl="3" w:tplc="300A000F" w:tentative="1">
      <w:start w:val="1"/>
      <w:numFmt w:val="decimal"/>
      <w:lvlText w:val="%4."/>
      <w:lvlJc w:val="left"/>
      <w:pPr>
        <w:ind w:left="2940" w:hanging="360"/>
      </w:pPr>
    </w:lvl>
    <w:lvl w:ilvl="4" w:tplc="300A0019" w:tentative="1">
      <w:start w:val="1"/>
      <w:numFmt w:val="lowerLetter"/>
      <w:lvlText w:val="%5."/>
      <w:lvlJc w:val="left"/>
      <w:pPr>
        <w:ind w:left="3660" w:hanging="360"/>
      </w:pPr>
    </w:lvl>
    <w:lvl w:ilvl="5" w:tplc="300A001B" w:tentative="1">
      <w:start w:val="1"/>
      <w:numFmt w:val="lowerRoman"/>
      <w:lvlText w:val="%6."/>
      <w:lvlJc w:val="right"/>
      <w:pPr>
        <w:ind w:left="4380" w:hanging="180"/>
      </w:pPr>
    </w:lvl>
    <w:lvl w:ilvl="6" w:tplc="300A000F" w:tentative="1">
      <w:start w:val="1"/>
      <w:numFmt w:val="decimal"/>
      <w:lvlText w:val="%7."/>
      <w:lvlJc w:val="left"/>
      <w:pPr>
        <w:ind w:left="5100" w:hanging="360"/>
      </w:pPr>
    </w:lvl>
    <w:lvl w:ilvl="7" w:tplc="300A0019" w:tentative="1">
      <w:start w:val="1"/>
      <w:numFmt w:val="lowerLetter"/>
      <w:lvlText w:val="%8."/>
      <w:lvlJc w:val="left"/>
      <w:pPr>
        <w:ind w:left="5820" w:hanging="360"/>
      </w:pPr>
    </w:lvl>
    <w:lvl w:ilvl="8" w:tplc="300A001B" w:tentative="1">
      <w:start w:val="1"/>
      <w:numFmt w:val="lowerRoman"/>
      <w:lvlText w:val="%9."/>
      <w:lvlJc w:val="right"/>
      <w:pPr>
        <w:ind w:left="6540" w:hanging="180"/>
      </w:pPr>
    </w:lvl>
  </w:abstractNum>
  <w:abstractNum w:abstractNumId="17" w15:restartNumberingAfterBreak="0">
    <w:nsid w:val="62286494"/>
    <w:multiLevelType w:val="hybridMultilevel"/>
    <w:tmpl w:val="C0EA734E"/>
    <w:lvl w:ilvl="0" w:tplc="040A0003">
      <w:start w:val="1"/>
      <w:numFmt w:val="bullet"/>
      <w:pStyle w:val="normal2"/>
      <w:lvlText w:val=""/>
      <w:lvlJc w:val="left"/>
      <w:pPr>
        <w:tabs>
          <w:tab w:val="num" w:pos="720"/>
        </w:tabs>
        <w:ind w:left="720" w:hanging="360"/>
      </w:pPr>
      <w:rPr>
        <w:rFonts w:ascii="Wingdings" w:hAnsi="Wingdings"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3143762"/>
    <w:multiLevelType w:val="multilevel"/>
    <w:tmpl w:val="C668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5B743C"/>
    <w:multiLevelType w:val="hybridMultilevel"/>
    <w:tmpl w:val="CB367D26"/>
    <w:lvl w:ilvl="0" w:tplc="300A000D">
      <w:start w:val="1"/>
      <w:numFmt w:val="bullet"/>
      <w:lvlText w:val=""/>
      <w:lvlJc w:val="left"/>
      <w:pPr>
        <w:ind w:left="1287" w:hanging="360"/>
      </w:pPr>
      <w:rPr>
        <w:rFonts w:ascii="Wingdings" w:hAnsi="Wingdings" w:hint="default"/>
      </w:rPr>
    </w:lvl>
    <w:lvl w:ilvl="1" w:tplc="300A0003" w:tentative="1">
      <w:start w:val="1"/>
      <w:numFmt w:val="bullet"/>
      <w:lvlText w:val="o"/>
      <w:lvlJc w:val="left"/>
      <w:pPr>
        <w:ind w:left="2007" w:hanging="360"/>
      </w:pPr>
      <w:rPr>
        <w:rFonts w:ascii="Courier New" w:hAnsi="Courier New" w:cs="Courier New" w:hint="default"/>
      </w:rPr>
    </w:lvl>
    <w:lvl w:ilvl="2" w:tplc="300A0005" w:tentative="1">
      <w:start w:val="1"/>
      <w:numFmt w:val="bullet"/>
      <w:lvlText w:val=""/>
      <w:lvlJc w:val="left"/>
      <w:pPr>
        <w:ind w:left="2727" w:hanging="360"/>
      </w:pPr>
      <w:rPr>
        <w:rFonts w:ascii="Wingdings" w:hAnsi="Wingdings" w:hint="default"/>
      </w:rPr>
    </w:lvl>
    <w:lvl w:ilvl="3" w:tplc="300A0001" w:tentative="1">
      <w:start w:val="1"/>
      <w:numFmt w:val="bullet"/>
      <w:lvlText w:val=""/>
      <w:lvlJc w:val="left"/>
      <w:pPr>
        <w:ind w:left="3447" w:hanging="360"/>
      </w:pPr>
      <w:rPr>
        <w:rFonts w:ascii="Symbol" w:hAnsi="Symbol" w:hint="default"/>
      </w:rPr>
    </w:lvl>
    <w:lvl w:ilvl="4" w:tplc="300A0003" w:tentative="1">
      <w:start w:val="1"/>
      <w:numFmt w:val="bullet"/>
      <w:lvlText w:val="o"/>
      <w:lvlJc w:val="left"/>
      <w:pPr>
        <w:ind w:left="4167" w:hanging="360"/>
      </w:pPr>
      <w:rPr>
        <w:rFonts w:ascii="Courier New" w:hAnsi="Courier New" w:cs="Courier New" w:hint="default"/>
      </w:rPr>
    </w:lvl>
    <w:lvl w:ilvl="5" w:tplc="300A0005" w:tentative="1">
      <w:start w:val="1"/>
      <w:numFmt w:val="bullet"/>
      <w:lvlText w:val=""/>
      <w:lvlJc w:val="left"/>
      <w:pPr>
        <w:ind w:left="4887" w:hanging="360"/>
      </w:pPr>
      <w:rPr>
        <w:rFonts w:ascii="Wingdings" w:hAnsi="Wingdings" w:hint="default"/>
      </w:rPr>
    </w:lvl>
    <w:lvl w:ilvl="6" w:tplc="300A0001" w:tentative="1">
      <w:start w:val="1"/>
      <w:numFmt w:val="bullet"/>
      <w:lvlText w:val=""/>
      <w:lvlJc w:val="left"/>
      <w:pPr>
        <w:ind w:left="5607" w:hanging="360"/>
      </w:pPr>
      <w:rPr>
        <w:rFonts w:ascii="Symbol" w:hAnsi="Symbol" w:hint="default"/>
      </w:rPr>
    </w:lvl>
    <w:lvl w:ilvl="7" w:tplc="300A0003" w:tentative="1">
      <w:start w:val="1"/>
      <w:numFmt w:val="bullet"/>
      <w:lvlText w:val="o"/>
      <w:lvlJc w:val="left"/>
      <w:pPr>
        <w:ind w:left="6327" w:hanging="360"/>
      </w:pPr>
      <w:rPr>
        <w:rFonts w:ascii="Courier New" w:hAnsi="Courier New" w:cs="Courier New" w:hint="default"/>
      </w:rPr>
    </w:lvl>
    <w:lvl w:ilvl="8" w:tplc="300A0005" w:tentative="1">
      <w:start w:val="1"/>
      <w:numFmt w:val="bullet"/>
      <w:lvlText w:val=""/>
      <w:lvlJc w:val="left"/>
      <w:pPr>
        <w:ind w:left="7047" w:hanging="360"/>
      </w:pPr>
      <w:rPr>
        <w:rFonts w:ascii="Wingdings" w:hAnsi="Wingdings" w:hint="default"/>
      </w:rPr>
    </w:lvl>
  </w:abstractNum>
  <w:abstractNum w:abstractNumId="20" w15:restartNumberingAfterBreak="0">
    <w:nsid w:val="7B361AC1"/>
    <w:multiLevelType w:val="hybridMultilevel"/>
    <w:tmpl w:val="1D32866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1"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num w:numId="1" w16cid:durableId="492532186">
    <w:abstractNumId w:val="9"/>
  </w:num>
  <w:num w:numId="2" w16cid:durableId="307976713">
    <w:abstractNumId w:val="17"/>
  </w:num>
  <w:num w:numId="3" w16cid:durableId="55203357">
    <w:abstractNumId w:val="13"/>
  </w:num>
  <w:num w:numId="4" w16cid:durableId="1700159168">
    <w:abstractNumId w:val="21"/>
  </w:num>
  <w:num w:numId="5" w16cid:durableId="1105080638">
    <w:abstractNumId w:val="20"/>
  </w:num>
  <w:num w:numId="6" w16cid:durableId="1293756487">
    <w:abstractNumId w:val="14"/>
  </w:num>
  <w:num w:numId="7" w16cid:durableId="1957445845">
    <w:abstractNumId w:val="0"/>
  </w:num>
  <w:num w:numId="8" w16cid:durableId="17409812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34684591">
    <w:abstractNumId w:val="15"/>
  </w:num>
  <w:num w:numId="10" w16cid:durableId="1724676851">
    <w:abstractNumId w:val="2"/>
  </w:num>
  <w:num w:numId="11" w16cid:durableId="34429813">
    <w:abstractNumId w:val="8"/>
  </w:num>
  <w:num w:numId="12" w16cid:durableId="1038551441">
    <w:abstractNumId w:val="7"/>
  </w:num>
  <w:num w:numId="13" w16cid:durableId="2146239758">
    <w:abstractNumId w:val="6"/>
  </w:num>
  <w:num w:numId="14" w16cid:durableId="5712055">
    <w:abstractNumId w:val="19"/>
  </w:num>
  <w:num w:numId="15" w16cid:durableId="1481271188">
    <w:abstractNumId w:val="16"/>
  </w:num>
  <w:num w:numId="16" w16cid:durableId="475998654">
    <w:abstractNumId w:val="4"/>
  </w:num>
  <w:num w:numId="17" w16cid:durableId="1335957508">
    <w:abstractNumId w:val="12"/>
  </w:num>
  <w:num w:numId="18" w16cid:durableId="1574193025">
    <w:abstractNumId w:val="1"/>
  </w:num>
  <w:num w:numId="19" w16cid:durableId="700671139">
    <w:abstractNumId w:val="3"/>
  </w:num>
  <w:num w:numId="20" w16cid:durableId="313071178">
    <w:abstractNumId w:val="18"/>
  </w:num>
  <w:num w:numId="21" w16cid:durableId="694500187">
    <w:abstractNumId w:val="10"/>
  </w:num>
  <w:num w:numId="22" w16cid:durableId="2069306054">
    <w:abstractNumId w:val="11"/>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proofState w:spelling="clean"/>
  <w:defaultTabStop w:val="708"/>
  <w:hyphenationZone w:val="425"/>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AEE"/>
    <w:rsid w:val="00003EE1"/>
    <w:rsid w:val="000165DA"/>
    <w:rsid w:val="000247A4"/>
    <w:rsid w:val="00027753"/>
    <w:rsid w:val="000357F6"/>
    <w:rsid w:val="00041B99"/>
    <w:rsid w:val="000427D7"/>
    <w:rsid w:val="000469F2"/>
    <w:rsid w:val="0005493C"/>
    <w:rsid w:val="00076380"/>
    <w:rsid w:val="00081019"/>
    <w:rsid w:val="000860F3"/>
    <w:rsid w:val="00096F77"/>
    <w:rsid w:val="000F6401"/>
    <w:rsid w:val="00105732"/>
    <w:rsid w:val="00111B9B"/>
    <w:rsid w:val="001130ED"/>
    <w:rsid w:val="00115294"/>
    <w:rsid w:val="0012051D"/>
    <w:rsid w:val="0012165C"/>
    <w:rsid w:val="00133AC0"/>
    <w:rsid w:val="001355E1"/>
    <w:rsid w:val="00135BA8"/>
    <w:rsid w:val="00142782"/>
    <w:rsid w:val="00147CD5"/>
    <w:rsid w:val="00150A3D"/>
    <w:rsid w:val="00165D24"/>
    <w:rsid w:val="001802E6"/>
    <w:rsid w:val="00183186"/>
    <w:rsid w:val="00187926"/>
    <w:rsid w:val="001913EC"/>
    <w:rsid w:val="00194110"/>
    <w:rsid w:val="001B79F3"/>
    <w:rsid w:val="001D131F"/>
    <w:rsid w:val="001D2796"/>
    <w:rsid w:val="001D29BB"/>
    <w:rsid w:val="001E50C2"/>
    <w:rsid w:val="001E693A"/>
    <w:rsid w:val="0020183A"/>
    <w:rsid w:val="00223AB0"/>
    <w:rsid w:val="00227994"/>
    <w:rsid w:val="002646A2"/>
    <w:rsid w:val="002732A3"/>
    <w:rsid w:val="0027596C"/>
    <w:rsid w:val="002820C9"/>
    <w:rsid w:val="00295CF1"/>
    <w:rsid w:val="002B0489"/>
    <w:rsid w:val="002B144A"/>
    <w:rsid w:val="002B4885"/>
    <w:rsid w:val="002C0D99"/>
    <w:rsid w:val="002D4366"/>
    <w:rsid w:val="002E43CE"/>
    <w:rsid w:val="002F0DB1"/>
    <w:rsid w:val="002F2031"/>
    <w:rsid w:val="00313D40"/>
    <w:rsid w:val="00320CAA"/>
    <w:rsid w:val="00335146"/>
    <w:rsid w:val="00336C16"/>
    <w:rsid w:val="00363B9D"/>
    <w:rsid w:val="0037434B"/>
    <w:rsid w:val="00376AEE"/>
    <w:rsid w:val="00377466"/>
    <w:rsid w:val="0039059E"/>
    <w:rsid w:val="0039371D"/>
    <w:rsid w:val="00394E23"/>
    <w:rsid w:val="003B46D3"/>
    <w:rsid w:val="003B7D15"/>
    <w:rsid w:val="003C28D8"/>
    <w:rsid w:val="003D3AC7"/>
    <w:rsid w:val="003D3D9A"/>
    <w:rsid w:val="003E4C28"/>
    <w:rsid w:val="00402DB7"/>
    <w:rsid w:val="00407862"/>
    <w:rsid w:val="00410C1A"/>
    <w:rsid w:val="0044400A"/>
    <w:rsid w:val="00451954"/>
    <w:rsid w:val="00452329"/>
    <w:rsid w:val="00453849"/>
    <w:rsid w:val="0046575C"/>
    <w:rsid w:val="0047105B"/>
    <w:rsid w:val="00477CD8"/>
    <w:rsid w:val="00484AFB"/>
    <w:rsid w:val="004A24AA"/>
    <w:rsid w:val="004A428A"/>
    <w:rsid w:val="004B34B2"/>
    <w:rsid w:val="004B3703"/>
    <w:rsid w:val="004B4632"/>
    <w:rsid w:val="004C38C6"/>
    <w:rsid w:val="004D363E"/>
    <w:rsid w:val="004D4BF3"/>
    <w:rsid w:val="004E0208"/>
    <w:rsid w:val="004F3A2F"/>
    <w:rsid w:val="004F4A73"/>
    <w:rsid w:val="00515AC1"/>
    <w:rsid w:val="00517AA4"/>
    <w:rsid w:val="00523780"/>
    <w:rsid w:val="0052669B"/>
    <w:rsid w:val="0054057B"/>
    <w:rsid w:val="00540E8E"/>
    <w:rsid w:val="00550240"/>
    <w:rsid w:val="005512CD"/>
    <w:rsid w:val="005666CF"/>
    <w:rsid w:val="00573B0D"/>
    <w:rsid w:val="00575F79"/>
    <w:rsid w:val="00580EC9"/>
    <w:rsid w:val="00582B71"/>
    <w:rsid w:val="00597AB8"/>
    <w:rsid w:val="005A1ADC"/>
    <w:rsid w:val="005C3352"/>
    <w:rsid w:val="005E6E21"/>
    <w:rsid w:val="005F48CD"/>
    <w:rsid w:val="006040CD"/>
    <w:rsid w:val="006057C0"/>
    <w:rsid w:val="00621EA5"/>
    <w:rsid w:val="00627316"/>
    <w:rsid w:val="00633AC0"/>
    <w:rsid w:val="006427A3"/>
    <w:rsid w:val="0065360B"/>
    <w:rsid w:val="00673A52"/>
    <w:rsid w:val="006928C8"/>
    <w:rsid w:val="006A0F98"/>
    <w:rsid w:val="006A6FFB"/>
    <w:rsid w:val="006D327F"/>
    <w:rsid w:val="006D7D92"/>
    <w:rsid w:val="0070005A"/>
    <w:rsid w:val="00707815"/>
    <w:rsid w:val="00733DFD"/>
    <w:rsid w:val="007409E0"/>
    <w:rsid w:val="0074341F"/>
    <w:rsid w:val="00743857"/>
    <w:rsid w:val="00762230"/>
    <w:rsid w:val="0077217F"/>
    <w:rsid w:val="00772D7C"/>
    <w:rsid w:val="00781862"/>
    <w:rsid w:val="0079529A"/>
    <w:rsid w:val="007969A1"/>
    <w:rsid w:val="007A0B29"/>
    <w:rsid w:val="007A66F7"/>
    <w:rsid w:val="007C3C8C"/>
    <w:rsid w:val="007D1E5F"/>
    <w:rsid w:val="0081371D"/>
    <w:rsid w:val="0081601A"/>
    <w:rsid w:val="00840838"/>
    <w:rsid w:val="00840B7C"/>
    <w:rsid w:val="00852703"/>
    <w:rsid w:val="00852A5E"/>
    <w:rsid w:val="00871C12"/>
    <w:rsid w:val="00874CC1"/>
    <w:rsid w:val="008A1822"/>
    <w:rsid w:val="008D1799"/>
    <w:rsid w:val="008D6452"/>
    <w:rsid w:val="008E092D"/>
    <w:rsid w:val="008E6731"/>
    <w:rsid w:val="008F5DCB"/>
    <w:rsid w:val="00916166"/>
    <w:rsid w:val="00920380"/>
    <w:rsid w:val="009371B4"/>
    <w:rsid w:val="0095041A"/>
    <w:rsid w:val="00952D51"/>
    <w:rsid w:val="0095548B"/>
    <w:rsid w:val="00957BEE"/>
    <w:rsid w:val="00971440"/>
    <w:rsid w:val="00972FA2"/>
    <w:rsid w:val="009A5D84"/>
    <w:rsid w:val="009B01BE"/>
    <w:rsid w:val="009B0B13"/>
    <w:rsid w:val="009D2121"/>
    <w:rsid w:val="009D78D4"/>
    <w:rsid w:val="009E6C86"/>
    <w:rsid w:val="00A32470"/>
    <w:rsid w:val="00A34B5E"/>
    <w:rsid w:val="00A37825"/>
    <w:rsid w:val="00A46BD3"/>
    <w:rsid w:val="00A4702F"/>
    <w:rsid w:val="00A47F0B"/>
    <w:rsid w:val="00A51006"/>
    <w:rsid w:val="00A53357"/>
    <w:rsid w:val="00A55B8D"/>
    <w:rsid w:val="00A56468"/>
    <w:rsid w:val="00A90013"/>
    <w:rsid w:val="00AB565A"/>
    <w:rsid w:val="00AC7F42"/>
    <w:rsid w:val="00AD653C"/>
    <w:rsid w:val="00AF280A"/>
    <w:rsid w:val="00B25A19"/>
    <w:rsid w:val="00B44FC7"/>
    <w:rsid w:val="00B543B9"/>
    <w:rsid w:val="00B56088"/>
    <w:rsid w:val="00B838B2"/>
    <w:rsid w:val="00B9406D"/>
    <w:rsid w:val="00B95B66"/>
    <w:rsid w:val="00BA2713"/>
    <w:rsid w:val="00BA5412"/>
    <w:rsid w:val="00BC1E1E"/>
    <w:rsid w:val="00BC2EB2"/>
    <w:rsid w:val="00BC315B"/>
    <w:rsid w:val="00BD10E2"/>
    <w:rsid w:val="00BE20D7"/>
    <w:rsid w:val="00BE5131"/>
    <w:rsid w:val="00C52121"/>
    <w:rsid w:val="00C53D4E"/>
    <w:rsid w:val="00C6555F"/>
    <w:rsid w:val="00C71B3C"/>
    <w:rsid w:val="00C83739"/>
    <w:rsid w:val="00C91A72"/>
    <w:rsid w:val="00C9626F"/>
    <w:rsid w:val="00C97BE9"/>
    <w:rsid w:val="00CA7055"/>
    <w:rsid w:val="00CB048D"/>
    <w:rsid w:val="00CB1363"/>
    <w:rsid w:val="00CB27B4"/>
    <w:rsid w:val="00CB60D8"/>
    <w:rsid w:val="00CB612E"/>
    <w:rsid w:val="00CB71CE"/>
    <w:rsid w:val="00CC164D"/>
    <w:rsid w:val="00CE74ED"/>
    <w:rsid w:val="00CF3B4B"/>
    <w:rsid w:val="00D049E0"/>
    <w:rsid w:val="00D13987"/>
    <w:rsid w:val="00D1488E"/>
    <w:rsid w:val="00D22E52"/>
    <w:rsid w:val="00D34625"/>
    <w:rsid w:val="00D651F9"/>
    <w:rsid w:val="00D76321"/>
    <w:rsid w:val="00D77677"/>
    <w:rsid w:val="00D86DA2"/>
    <w:rsid w:val="00DB177C"/>
    <w:rsid w:val="00DB627A"/>
    <w:rsid w:val="00DC516B"/>
    <w:rsid w:val="00DD0834"/>
    <w:rsid w:val="00DD3F5A"/>
    <w:rsid w:val="00DF1B8E"/>
    <w:rsid w:val="00E10276"/>
    <w:rsid w:val="00E159D3"/>
    <w:rsid w:val="00E15E3B"/>
    <w:rsid w:val="00E60839"/>
    <w:rsid w:val="00E73F7D"/>
    <w:rsid w:val="00E81E81"/>
    <w:rsid w:val="00E9373F"/>
    <w:rsid w:val="00E94595"/>
    <w:rsid w:val="00EA35D7"/>
    <w:rsid w:val="00EA5797"/>
    <w:rsid w:val="00EB6B95"/>
    <w:rsid w:val="00EB6C58"/>
    <w:rsid w:val="00EC18A3"/>
    <w:rsid w:val="00EC2BB2"/>
    <w:rsid w:val="00ED06A0"/>
    <w:rsid w:val="00ED5B57"/>
    <w:rsid w:val="00EE42F4"/>
    <w:rsid w:val="00EF612F"/>
    <w:rsid w:val="00F23196"/>
    <w:rsid w:val="00F25C78"/>
    <w:rsid w:val="00F3717E"/>
    <w:rsid w:val="00F57C73"/>
    <w:rsid w:val="00F6024C"/>
    <w:rsid w:val="00F609CC"/>
    <w:rsid w:val="00F64DF1"/>
    <w:rsid w:val="00F83B22"/>
    <w:rsid w:val="00F86D42"/>
    <w:rsid w:val="00FB1685"/>
    <w:rsid w:val="00FB399F"/>
    <w:rsid w:val="00FD413A"/>
    <w:rsid w:val="00FD5CA3"/>
    <w:rsid w:val="00FE61EC"/>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905876"/>
  <w15:chartTrackingRefBased/>
  <w15:docId w15:val="{DB45E99C-2C48-5F48-AFAD-CE4643F61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C"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2121"/>
    <w:rPr>
      <w:rFonts w:ascii="Times New Roman" w:eastAsia="Times New Roman" w:hAnsi="Times New Roman" w:cs="Times New Roman"/>
      <w:lang w:eastAsia="es-MX"/>
    </w:rPr>
  </w:style>
  <w:style w:type="paragraph" w:styleId="Ttulo1">
    <w:name w:val="heading 1"/>
    <w:aliases w:val="nivel 1"/>
    <w:basedOn w:val="Normal"/>
    <w:next w:val="Normal"/>
    <w:link w:val="Ttulo1Car"/>
    <w:uiPriority w:val="9"/>
    <w:qFormat/>
    <w:rsid w:val="00C91A72"/>
    <w:pPr>
      <w:keepNext/>
      <w:keepLines/>
      <w:spacing w:before="240"/>
      <w:outlineLvl w:val="0"/>
    </w:pPr>
    <w:rPr>
      <w:rFonts w:asciiTheme="majorHAnsi" w:eastAsiaTheme="majorEastAsia" w:hAnsiTheme="majorHAnsi" w:cstheme="majorBidi"/>
      <w:color w:val="2F5496" w:themeColor="accent1" w:themeShade="BF"/>
      <w:sz w:val="32"/>
      <w:szCs w:val="32"/>
      <w:lang w:eastAsia="es-ES_tradnl"/>
    </w:rPr>
  </w:style>
  <w:style w:type="paragraph" w:styleId="Ttulo2">
    <w:name w:val="heading 2"/>
    <w:aliases w:val="nivel 2"/>
    <w:basedOn w:val="Normal"/>
    <w:next w:val="Normal"/>
    <w:link w:val="Ttulo2Car"/>
    <w:autoRedefine/>
    <w:uiPriority w:val="9"/>
    <w:unhideWhenUsed/>
    <w:qFormat/>
    <w:rsid w:val="00DF1B8E"/>
    <w:pPr>
      <w:keepNext/>
      <w:keepLines/>
      <w:numPr>
        <w:ilvl w:val="1"/>
        <w:numId w:val="1"/>
      </w:numPr>
      <w:spacing w:before="40" w:line="360" w:lineRule="auto"/>
      <w:jc w:val="both"/>
      <w:outlineLvl w:val="1"/>
    </w:pPr>
    <w:rPr>
      <w:rFonts w:eastAsia="SimSun"/>
      <w:b/>
      <w:color w:val="000000" w:themeColor="text1"/>
      <w:shd w:val="clear" w:color="auto" w:fill="FFFFFF"/>
    </w:rPr>
  </w:style>
  <w:style w:type="paragraph" w:styleId="Ttulo3">
    <w:name w:val="heading 3"/>
    <w:aliases w:val="nivel 3,HeaderP1"/>
    <w:basedOn w:val="Normal"/>
    <w:next w:val="Normal"/>
    <w:link w:val="Ttulo3Car"/>
    <w:uiPriority w:val="9"/>
    <w:qFormat/>
    <w:rsid w:val="00DF1B8E"/>
    <w:pPr>
      <w:keepNext/>
      <w:keepLines/>
      <w:numPr>
        <w:ilvl w:val="2"/>
        <w:numId w:val="1"/>
      </w:numPr>
      <w:spacing w:before="240" w:line="480" w:lineRule="auto"/>
      <w:jc w:val="both"/>
      <w:outlineLvl w:val="2"/>
    </w:pPr>
    <w:rPr>
      <w:rFonts w:eastAsia="SimSun" w:cs="SimSun"/>
      <w:b/>
      <w:color w:val="000000" w:themeColor="text1"/>
      <w:lang w:val="es-ES" w:eastAsia="en-US"/>
    </w:rPr>
  </w:style>
  <w:style w:type="paragraph" w:styleId="Ttulo4">
    <w:name w:val="heading 4"/>
    <w:aliases w:val="nivel 4"/>
    <w:basedOn w:val="Normal"/>
    <w:next w:val="Normal"/>
    <w:link w:val="Ttulo4Car"/>
    <w:uiPriority w:val="9"/>
    <w:unhideWhenUsed/>
    <w:qFormat/>
    <w:rsid w:val="00DF1B8E"/>
    <w:pPr>
      <w:keepNext/>
      <w:keepLines/>
      <w:numPr>
        <w:ilvl w:val="3"/>
        <w:numId w:val="1"/>
      </w:numPr>
      <w:spacing w:before="40" w:line="259" w:lineRule="auto"/>
      <w:jc w:val="both"/>
      <w:outlineLvl w:val="3"/>
    </w:pPr>
    <w:rPr>
      <w:rFonts w:asciiTheme="majorHAnsi" w:eastAsiaTheme="majorEastAsia" w:hAnsiTheme="majorHAnsi" w:cstheme="majorBidi"/>
      <w:i/>
      <w:iCs/>
      <w:color w:val="2F5496" w:themeColor="accent1" w:themeShade="BF"/>
      <w:szCs w:val="22"/>
      <w:lang w:val="es-ES"/>
    </w:rPr>
  </w:style>
  <w:style w:type="paragraph" w:styleId="Ttulo5">
    <w:name w:val="heading 5"/>
    <w:aliases w:val="nivel 5"/>
    <w:basedOn w:val="Normal"/>
    <w:next w:val="Normal"/>
    <w:link w:val="Ttulo5Car"/>
    <w:uiPriority w:val="9"/>
    <w:unhideWhenUsed/>
    <w:qFormat/>
    <w:rsid w:val="00DF1B8E"/>
    <w:pPr>
      <w:keepNext/>
      <w:keepLines/>
      <w:numPr>
        <w:ilvl w:val="4"/>
        <w:numId w:val="1"/>
      </w:numPr>
      <w:spacing w:before="40" w:line="259" w:lineRule="auto"/>
      <w:jc w:val="both"/>
      <w:outlineLvl w:val="4"/>
    </w:pPr>
    <w:rPr>
      <w:rFonts w:asciiTheme="majorHAnsi" w:eastAsiaTheme="majorEastAsia" w:hAnsiTheme="majorHAnsi" w:cstheme="majorBidi"/>
      <w:color w:val="2F5496" w:themeColor="accent1" w:themeShade="BF"/>
      <w:szCs w:val="22"/>
      <w:lang w:val="es-ES"/>
    </w:rPr>
  </w:style>
  <w:style w:type="paragraph" w:styleId="Ttulo6">
    <w:name w:val="heading 6"/>
    <w:basedOn w:val="Normal"/>
    <w:next w:val="Normal"/>
    <w:link w:val="Ttulo6Car"/>
    <w:uiPriority w:val="9"/>
    <w:unhideWhenUsed/>
    <w:qFormat/>
    <w:rsid w:val="00DF1B8E"/>
    <w:pPr>
      <w:keepNext/>
      <w:keepLines/>
      <w:numPr>
        <w:ilvl w:val="5"/>
        <w:numId w:val="1"/>
      </w:numPr>
      <w:spacing w:before="40" w:line="259" w:lineRule="auto"/>
      <w:ind w:left="3600" w:firstLine="0"/>
      <w:jc w:val="both"/>
      <w:outlineLvl w:val="5"/>
    </w:pPr>
    <w:rPr>
      <w:rFonts w:asciiTheme="majorHAnsi" w:eastAsiaTheme="majorEastAsia" w:hAnsiTheme="majorHAnsi" w:cstheme="majorBidi"/>
      <w:color w:val="1F3763" w:themeColor="accent1" w:themeShade="7F"/>
      <w:szCs w:val="22"/>
      <w:lang w:val="es-ES"/>
    </w:rPr>
  </w:style>
  <w:style w:type="paragraph" w:styleId="Ttulo7">
    <w:name w:val="heading 7"/>
    <w:basedOn w:val="Normal"/>
    <w:next w:val="Normal"/>
    <w:link w:val="Ttulo7Car"/>
    <w:uiPriority w:val="9"/>
    <w:unhideWhenUsed/>
    <w:qFormat/>
    <w:rsid w:val="00DF1B8E"/>
    <w:pPr>
      <w:keepNext/>
      <w:keepLines/>
      <w:numPr>
        <w:ilvl w:val="6"/>
        <w:numId w:val="1"/>
      </w:numPr>
      <w:spacing w:before="40" w:line="259" w:lineRule="auto"/>
      <w:ind w:left="4320" w:firstLine="0"/>
      <w:jc w:val="both"/>
      <w:outlineLvl w:val="6"/>
    </w:pPr>
    <w:rPr>
      <w:rFonts w:asciiTheme="majorHAnsi" w:eastAsiaTheme="majorEastAsia" w:hAnsiTheme="majorHAnsi" w:cstheme="majorBidi"/>
      <w:i/>
      <w:iCs/>
      <w:color w:val="1F3763" w:themeColor="accent1" w:themeShade="7F"/>
      <w:szCs w:val="22"/>
      <w:lang w:val="es-ES"/>
    </w:rPr>
  </w:style>
  <w:style w:type="paragraph" w:styleId="Ttulo8">
    <w:name w:val="heading 8"/>
    <w:basedOn w:val="Normal"/>
    <w:next w:val="Normal"/>
    <w:link w:val="Ttulo8Car"/>
    <w:uiPriority w:val="9"/>
    <w:unhideWhenUsed/>
    <w:qFormat/>
    <w:rsid w:val="00DF1B8E"/>
    <w:pPr>
      <w:keepNext/>
      <w:keepLines/>
      <w:numPr>
        <w:ilvl w:val="7"/>
        <w:numId w:val="1"/>
      </w:numPr>
      <w:spacing w:before="40" w:line="259" w:lineRule="auto"/>
      <w:ind w:left="5040" w:firstLine="0"/>
      <w:jc w:val="both"/>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link w:val="Ttulo9Car"/>
    <w:uiPriority w:val="9"/>
    <w:unhideWhenUsed/>
    <w:qFormat/>
    <w:rsid w:val="00DF1B8E"/>
    <w:pPr>
      <w:keepNext/>
      <w:keepLines/>
      <w:numPr>
        <w:ilvl w:val="8"/>
        <w:numId w:val="1"/>
      </w:numPr>
      <w:spacing w:before="40" w:line="259" w:lineRule="auto"/>
      <w:ind w:left="5760" w:firstLine="0"/>
      <w:jc w:val="both"/>
      <w:outlineLvl w:val="8"/>
    </w:pPr>
    <w:rPr>
      <w:rFonts w:asciiTheme="majorHAnsi" w:eastAsiaTheme="majorEastAsia" w:hAnsiTheme="majorHAnsi" w:cstheme="majorBidi"/>
      <w:i/>
      <w:iCs/>
      <w:color w:val="272727" w:themeColor="text1" w:themeTint="D8"/>
      <w:sz w:val="21"/>
      <w:szCs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6AEE"/>
    <w:pPr>
      <w:tabs>
        <w:tab w:val="center" w:pos="4419"/>
        <w:tab w:val="right" w:pos="8838"/>
      </w:tabs>
    </w:pPr>
    <w:rPr>
      <w:lang w:eastAsia="es-ES_tradnl"/>
    </w:rPr>
  </w:style>
  <w:style w:type="character" w:customStyle="1" w:styleId="EncabezadoCar">
    <w:name w:val="Encabezado Car"/>
    <w:basedOn w:val="Fuentedeprrafopredeter"/>
    <w:link w:val="Encabezado"/>
    <w:uiPriority w:val="99"/>
    <w:rsid w:val="00376AEE"/>
  </w:style>
  <w:style w:type="paragraph" w:styleId="Piedepgina">
    <w:name w:val="footer"/>
    <w:basedOn w:val="Normal"/>
    <w:link w:val="PiedepginaCar"/>
    <w:uiPriority w:val="99"/>
    <w:unhideWhenUsed/>
    <w:rsid w:val="00376AEE"/>
    <w:pPr>
      <w:tabs>
        <w:tab w:val="center" w:pos="4419"/>
        <w:tab w:val="right" w:pos="8838"/>
      </w:tabs>
    </w:pPr>
    <w:rPr>
      <w:lang w:eastAsia="es-ES_tradnl"/>
    </w:rPr>
  </w:style>
  <w:style w:type="character" w:customStyle="1" w:styleId="PiedepginaCar">
    <w:name w:val="Pie de página Car"/>
    <w:basedOn w:val="Fuentedeprrafopredeter"/>
    <w:link w:val="Piedepgina"/>
    <w:uiPriority w:val="99"/>
    <w:rsid w:val="00376AEE"/>
  </w:style>
  <w:style w:type="character" w:customStyle="1" w:styleId="apple-converted-space">
    <w:name w:val="apple-converted-space"/>
    <w:basedOn w:val="Fuentedeprrafopredeter"/>
    <w:rsid w:val="00376AEE"/>
  </w:style>
  <w:style w:type="character" w:styleId="Hipervnculo">
    <w:name w:val="Hyperlink"/>
    <w:basedOn w:val="Fuentedeprrafopredeter"/>
    <w:uiPriority w:val="99"/>
    <w:unhideWhenUsed/>
    <w:qFormat/>
    <w:rsid w:val="00376AEE"/>
    <w:rPr>
      <w:color w:val="0000FF"/>
      <w:u w:val="single"/>
    </w:rPr>
  </w:style>
  <w:style w:type="character" w:styleId="Nmerodepgina">
    <w:name w:val="page number"/>
    <w:basedOn w:val="Fuentedeprrafopredeter"/>
    <w:uiPriority w:val="99"/>
    <w:semiHidden/>
    <w:unhideWhenUsed/>
    <w:rsid w:val="00376AEE"/>
  </w:style>
  <w:style w:type="paragraph" w:styleId="Textonotapie">
    <w:name w:val="footnote text"/>
    <w:basedOn w:val="Normal"/>
    <w:link w:val="TextonotapieCar"/>
    <w:unhideWhenUsed/>
    <w:rsid w:val="00DF1B8E"/>
    <w:rPr>
      <w:sz w:val="20"/>
      <w:szCs w:val="20"/>
      <w:lang w:eastAsia="es-ES_tradnl"/>
    </w:rPr>
  </w:style>
  <w:style w:type="character" w:customStyle="1" w:styleId="TextonotapieCar">
    <w:name w:val="Texto nota pie Car"/>
    <w:basedOn w:val="Fuentedeprrafopredeter"/>
    <w:link w:val="Textonotapie"/>
    <w:rsid w:val="00DF1B8E"/>
    <w:rPr>
      <w:rFonts w:ascii="Times New Roman" w:eastAsia="SimSun" w:hAnsi="Times New Roman" w:cs="SimSun"/>
      <w:color w:val="000000" w:themeColor="text1"/>
      <w:sz w:val="20"/>
      <w:szCs w:val="20"/>
      <w:lang w:val="es-ES" w:eastAsia="es-MX"/>
    </w:rPr>
  </w:style>
  <w:style w:type="character" w:styleId="Refdenotaalpie">
    <w:name w:val="footnote reference"/>
    <w:basedOn w:val="Fuentedeprrafopredeter"/>
    <w:uiPriority w:val="99"/>
    <w:unhideWhenUsed/>
    <w:rsid w:val="00DF1B8E"/>
    <w:rPr>
      <w:vertAlign w:val="superscript"/>
    </w:rPr>
  </w:style>
  <w:style w:type="paragraph" w:styleId="NormalWeb">
    <w:name w:val="Normal (Web)"/>
    <w:basedOn w:val="Normal"/>
    <w:uiPriority w:val="99"/>
    <w:unhideWhenUsed/>
    <w:qFormat/>
    <w:rsid w:val="00DF1B8E"/>
    <w:pPr>
      <w:spacing w:before="100" w:beforeAutospacing="1" w:after="100" w:afterAutospacing="1"/>
    </w:pPr>
    <w:rPr>
      <w:lang w:eastAsia="es-ES_tradnl"/>
    </w:rPr>
  </w:style>
  <w:style w:type="paragraph" w:styleId="HTMLconformatoprevio">
    <w:name w:val="HTML Preformatted"/>
    <w:basedOn w:val="Normal"/>
    <w:link w:val="HTMLconformatoprevioCar"/>
    <w:uiPriority w:val="99"/>
    <w:semiHidden/>
    <w:unhideWhenUsed/>
    <w:rsid w:val="00DF1B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es-ES_tradnl"/>
    </w:rPr>
  </w:style>
  <w:style w:type="character" w:customStyle="1" w:styleId="HTMLconformatoprevioCar">
    <w:name w:val="HTML con formato previo Car"/>
    <w:basedOn w:val="Fuentedeprrafopredeter"/>
    <w:link w:val="HTMLconformatoprevio"/>
    <w:uiPriority w:val="99"/>
    <w:semiHidden/>
    <w:rsid w:val="00DF1B8E"/>
    <w:rPr>
      <w:rFonts w:ascii="Courier New" w:eastAsia="Times New Roman" w:hAnsi="Courier New" w:cs="Courier New"/>
      <w:sz w:val="20"/>
      <w:szCs w:val="20"/>
      <w:lang w:eastAsia="es-ES_tradnl"/>
    </w:rPr>
  </w:style>
  <w:style w:type="character" w:customStyle="1" w:styleId="Ttulo2Car">
    <w:name w:val="Título 2 Car"/>
    <w:aliases w:val="nivel 2 Car"/>
    <w:basedOn w:val="Fuentedeprrafopredeter"/>
    <w:link w:val="Ttulo2"/>
    <w:uiPriority w:val="9"/>
    <w:qFormat/>
    <w:rsid w:val="00DF1B8E"/>
    <w:rPr>
      <w:rFonts w:ascii="Times New Roman" w:eastAsia="SimSun" w:hAnsi="Times New Roman" w:cs="Times New Roman"/>
      <w:b/>
      <w:color w:val="000000" w:themeColor="text1"/>
      <w:lang w:eastAsia="es-MX"/>
    </w:rPr>
  </w:style>
  <w:style w:type="character" w:customStyle="1" w:styleId="Ttulo3Car">
    <w:name w:val="Título 3 Car"/>
    <w:aliases w:val="nivel 3 Car,HeaderP1 Car"/>
    <w:basedOn w:val="Fuentedeprrafopredeter"/>
    <w:link w:val="Ttulo3"/>
    <w:uiPriority w:val="9"/>
    <w:qFormat/>
    <w:rsid w:val="00DF1B8E"/>
    <w:rPr>
      <w:rFonts w:ascii="Times New Roman" w:eastAsia="SimSun" w:hAnsi="Times New Roman" w:cs="SimSun"/>
      <w:b/>
      <w:color w:val="000000" w:themeColor="text1"/>
      <w:lang w:val="es-ES"/>
    </w:rPr>
  </w:style>
  <w:style w:type="character" w:customStyle="1" w:styleId="Ttulo4Car">
    <w:name w:val="Título 4 Car"/>
    <w:aliases w:val="nivel 4 Car"/>
    <w:basedOn w:val="Fuentedeprrafopredeter"/>
    <w:link w:val="Ttulo4"/>
    <w:uiPriority w:val="9"/>
    <w:qFormat/>
    <w:rsid w:val="00DF1B8E"/>
    <w:rPr>
      <w:rFonts w:asciiTheme="majorHAnsi" w:eastAsiaTheme="majorEastAsia" w:hAnsiTheme="majorHAnsi" w:cstheme="majorBidi"/>
      <w:i/>
      <w:iCs/>
      <w:color w:val="2F5496" w:themeColor="accent1" w:themeShade="BF"/>
      <w:szCs w:val="22"/>
      <w:lang w:val="es-ES" w:eastAsia="es-MX"/>
    </w:rPr>
  </w:style>
  <w:style w:type="character" w:customStyle="1" w:styleId="Ttulo5Car">
    <w:name w:val="Título 5 Car"/>
    <w:aliases w:val="nivel 5 Car"/>
    <w:basedOn w:val="Fuentedeprrafopredeter"/>
    <w:link w:val="Ttulo5"/>
    <w:uiPriority w:val="9"/>
    <w:qFormat/>
    <w:rsid w:val="00DF1B8E"/>
    <w:rPr>
      <w:rFonts w:asciiTheme="majorHAnsi" w:eastAsiaTheme="majorEastAsia" w:hAnsiTheme="majorHAnsi" w:cstheme="majorBidi"/>
      <w:color w:val="2F5496" w:themeColor="accent1" w:themeShade="BF"/>
      <w:szCs w:val="22"/>
      <w:lang w:val="es-ES" w:eastAsia="es-MX"/>
    </w:rPr>
  </w:style>
  <w:style w:type="character" w:customStyle="1" w:styleId="Ttulo6Car">
    <w:name w:val="Título 6 Car"/>
    <w:basedOn w:val="Fuentedeprrafopredeter"/>
    <w:link w:val="Ttulo6"/>
    <w:uiPriority w:val="9"/>
    <w:qFormat/>
    <w:rsid w:val="00DF1B8E"/>
    <w:rPr>
      <w:rFonts w:asciiTheme="majorHAnsi" w:eastAsiaTheme="majorEastAsia" w:hAnsiTheme="majorHAnsi" w:cstheme="majorBidi"/>
      <w:color w:val="1F3763" w:themeColor="accent1" w:themeShade="7F"/>
      <w:szCs w:val="22"/>
      <w:lang w:val="es-ES" w:eastAsia="es-MX"/>
    </w:rPr>
  </w:style>
  <w:style w:type="character" w:customStyle="1" w:styleId="Ttulo7Car">
    <w:name w:val="Título 7 Car"/>
    <w:basedOn w:val="Fuentedeprrafopredeter"/>
    <w:link w:val="Ttulo7"/>
    <w:uiPriority w:val="9"/>
    <w:qFormat/>
    <w:rsid w:val="00DF1B8E"/>
    <w:rPr>
      <w:rFonts w:asciiTheme="majorHAnsi" w:eastAsiaTheme="majorEastAsia" w:hAnsiTheme="majorHAnsi" w:cstheme="majorBidi"/>
      <w:i/>
      <w:iCs/>
      <w:color w:val="1F3763" w:themeColor="accent1" w:themeShade="7F"/>
      <w:szCs w:val="22"/>
      <w:lang w:val="es-ES" w:eastAsia="es-MX"/>
    </w:rPr>
  </w:style>
  <w:style w:type="character" w:customStyle="1" w:styleId="Ttulo8Car">
    <w:name w:val="Título 8 Car"/>
    <w:basedOn w:val="Fuentedeprrafopredeter"/>
    <w:link w:val="Ttulo8"/>
    <w:uiPriority w:val="9"/>
    <w:qFormat/>
    <w:rsid w:val="00DF1B8E"/>
    <w:rPr>
      <w:rFonts w:asciiTheme="majorHAnsi" w:eastAsiaTheme="majorEastAsia" w:hAnsiTheme="majorHAnsi" w:cstheme="majorBidi"/>
      <w:color w:val="272727" w:themeColor="text1" w:themeTint="D8"/>
      <w:sz w:val="21"/>
      <w:szCs w:val="21"/>
      <w:lang w:val="es-ES" w:eastAsia="es-MX"/>
    </w:rPr>
  </w:style>
  <w:style w:type="character" w:customStyle="1" w:styleId="Ttulo9Car">
    <w:name w:val="Título 9 Car"/>
    <w:basedOn w:val="Fuentedeprrafopredeter"/>
    <w:link w:val="Ttulo9"/>
    <w:uiPriority w:val="9"/>
    <w:qFormat/>
    <w:rsid w:val="00DF1B8E"/>
    <w:rPr>
      <w:rFonts w:asciiTheme="majorHAnsi" w:eastAsiaTheme="majorEastAsia" w:hAnsiTheme="majorHAnsi" w:cstheme="majorBidi"/>
      <w:i/>
      <w:iCs/>
      <w:color w:val="272727" w:themeColor="text1" w:themeTint="D8"/>
      <w:sz w:val="21"/>
      <w:szCs w:val="21"/>
      <w:lang w:val="es-ES" w:eastAsia="es-MX"/>
    </w:rPr>
  </w:style>
  <w:style w:type="paragraph" w:styleId="Sinespaciado">
    <w:name w:val="No Spacing"/>
    <w:link w:val="SinespaciadoCar"/>
    <w:uiPriority w:val="1"/>
    <w:qFormat/>
    <w:rsid w:val="00DF1B8E"/>
    <w:pPr>
      <w:jc w:val="both"/>
    </w:pPr>
    <w:rPr>
      <w:rFonts w:ascii="Times New Roman" w:eastAsia="SimSun" w:hAnsi="Times New Roman" w:cs="SimSun"/>
      <w:color w:val="000000" w:themeColor="text1"/>
      <w:szCs w:val="22"/>
      <w:lang w:val="es-ES" w:eastAsia="es-MX"/>
    </w:rPr>
  </w:style>
  <w:style w:type="character" w:customStyle="1" w:styleId="entry-headline-text">
    <w:name w:val="entry-headline-text"/>
    <w:basedOn w:val="Fuentedeprrafopredeter"/>
    <w:rsid w:val="00DF1B8E"/>
  </w:style>
  <w:style w:type="character" w:styleId="nfasis">
    <w:name w:val="Emphasis"/>
    <w:basedOn w:val="Fuentedeprrafopredeter"/>
    <w:uiPriority w:val="20"/>
    <w:qFormat/>
    <w:rsid w:val="00DF1B8E"/>
    <w:rPr>
      <w:i/>
      <w:iCs/>
    </w:rPr>
  </w:style>
  <w:style w:type="paragraph" w:styleId="Descripcin">
    <w:name w:val="caption"/>
    <w:basedOn w:val="Normal"/>
    <w:next w:val="Normal"/>
    <w:link w:val="DescripcinCar"/>
    <w:uiPriority w:val="35"/>
    <w:unhideWhenUsed/>
    <w:qFormat/>
    <w:rsid w:val="00DF1B8E"/>
    <w:pPr>
      <w:spacing w:after="200"/>
      <w:jc w:val="both"/>
    </w:pPr>
    <w:rPr>
      <w:rFonts w:eastAsia="SimSun" w:cs="SimSun"/>
      <w:i/>
      <w:iCs/>
      <w:color w:val="44546A" w:themeColor="text2"/>
      <w:sz w:val="18"/>
      <w:szCs w:val="18"/>
      <w:lang w:val="es-ES"/>
    </w:rPr>
  </w:style>
  <w:style w:type="character" w:styleId="Fuerte">
    <w:name w:val="Strong"/>
    <w:basedOn w:val="Fuentedeprrafopredeter"/>
    <w:uiPriority w:val="22"/>
    <w:qFormat/>
    <w:rsid w:val="00DF1B8E"/>
    <w:rPr>
      <w:b/>
      <w:bCs/>
    </w:rPr>
  </w:style>
  <w:style w:type="character" w:customStyle="1" w:styleId="ez-toc-section">
    <w:name w:val="ez-toc-section"/>
    <w:basedOn w:val="Fuentedeprrafopredeter"/>
    <w:rsid w:val="00DF1B8E"/>
  </w:style>
  <w:style w:type="paragraph" w:styleId="Bibliografa">
    <w:name w:val="Bibliography"/>
    <w:basedOn w:val="Normal"/>
    <w:next w:val="Normal"/>
    <w:uiPriority w:val="37"/>
    <w:unhideWhenUsed/>
    <w:rsid w:val="007A66F7"/>
    <w:pPr>
      <w:spacing w:after="160" w:line="259" w:lineRule="auto"/>
      <w:jc w:val="both"/>
    </w:pPr>
    <w:rPr>
      <w:rFonts w:eastAsia="SimSun" w:cs="SimSun"/>
      <w:color w:val="000000" w:themeColor="text1"/>
      <w:szCs w:val="22"/>
      <w:lang w:val="es-ES"/>
    </w:rPr>
  </w:style>
  <w:style w:type="character" w:customStyle="1" w:styleId="Ttulo1Car">
    <w:name w:val="Título 1 Car"/>
    <w:aliases w:val="nivel 1 Car"/>
    <w:basedOn w:val="Fuentedeprrafopredeter"/>
    <w:link w:val="Ttulo1"/>
    <w:uiPriority w:val="9"/>
    <w:qFormat/>
    <w:rsid w:val="00C91A72"/>
    <w:rPr>
      <w:rFonts w:asciiTheme="majorHAnsi" w:eastAsiaTheme="majorEastAsia" w:hAnsiTheme="majorHAnsi" w:cstheme="majorBidi"/>
      <w:color w:val="2F5496" w:themeColor="accent1" w:themeShade="BF"/>
      <w:sz w:val="32"/>
      <w:szCs w:val="32"/>
      <w:lang w:eastAsia="es-ES_tradnl"/>
    </w:rPr>
  </w:style>
  <w:style w:type="paragraph" w:styleId="Prrafodelista">
    <w:name w:val="List Paragraph"/>
    <w:basedOn w:val="Normal"/>
    <w:link w:val="PrrafodelistaCar"/>
    <w:uiPriority w:val="34"/>
    <w:qFormat/>
    <w:rsid w:val="00DB627A"/>
    <w:pPr>
      <w:spacing w:after="160" w:line="259" w:lineRule="auto"/>
      <w:ind w:left="720"/>
      <w:contextualSpacing/>
      <w:jc w:val="both"/>
    </w:pPr>
    <w:rPr>
      <w:rFonts w:ascii="Arial" w:eastAsiaTheme="minorHAnsi" w:hAnsi="Arial" w:cstheme="minorBidi"/>
      <w:szCs w:val="22"/>
      <w:lang w:eastAsia="en-US"/>
    </w:rPr>
  </w:style>
  <w:style w:type="table" w:customStyle="1" w:styleId="Sombreadoclaro1">
    <w:name w:val="Sombreado claro1"/>
    <w:basedOn w:val="Tablanormal"/>
    <w:uiPriority w:val="60"/>
    <w:rsid w:val="00DB627A"/>
    <w:rPr>
      <w:color w:val="000000" w:themeColor="text1" w:themeShade="BF"/>
      <w:sz w:val="22"/>
      <w:szCs w:val="22"/>
      <w:lang w:val="es-E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extonotaalfinal">
    <w:name w:val="endnote text"/>
    <w:basedOn w:val="Normal"/>
    <w:link w:val="TextonotaalfinalCar"/>
    <w:uiPriority w:val="99"/>
    <w:semiHidden/>
    <w:unhideWhenUsed/>
    <w:rsid w:val="00DB627A"/>
    <w:pPr>
      <w:jc w:val="both"/>
    </w:pPr>
    <w:rPr>
      <w:rFonts w:ascii="Arial" w:eastAsiaTheme="minorHAnsi" w:hAnsi="Arial" w:cstheme="minorBidi"/>
      <w:sz w:val="20"/>
      <w:szCs w:val="20"/>
      <w:lang w:eastAsia="en-US"/>
    </w:rPr>
  </w:style>
  <w:style w:type="character" w:customStyle="1" w:styleId="TextonotaalfinalCar">
    <w:name w:val="Texto nota al final Car"/>
    <w:basedOn w:val="Fuentedeprrafopredeter"/>
    <w:link w:val="Textonotaalfinal"/>
    <w:uiPriority w:val="99"/>
    <w:semiHidden/>
    <w:rsid w:val="00DB627A"/>
    <w:rPr>
      <w:rFonts w:ascii="Arial" w:hAnsi="Arial"/>
      <w:sz w:val="20"/>
      <w:szCs w:val="20"/>
    </w:rPr>
  </w:style>
  <w:style w:type="character" w:customStyle="1" w:styleId="orcid-id-https">
    <w:name w:val="orcid-id-https"/>
    <w:basedOn w:val="Fuentedeprrafopredeter"/>
    <w:rsid w:val="009B0B13"/>
  </w:style>
  <w:style w:type="character" w:styleId="Hipervnculovisitado">
    <w:name w:val="FollowedHyperlink"/>
    <w:basedOn w:val="Fuentedeprrafopredeter"/>
    <w:uiPriority w:val="99"/>
    <w:semiHidden/>
    <w:unhideWhenUsed/>
    <w:rsid w:val="009B0B13"/>
    <w:rPr>
      <w:color w:val="954F72" w:themeColor="followedHyperlink"/>
      <w:u w:val="single"/>
    </w:rPr>
  </w:style>
  <w:style w:type="character" w:styleId="Mencinsinresolver">
    <w:name w:val="Unresolved Mention"/>
    <w:basedOn w:val="Fuentedeprrafopredeter"/>
    <w:uiPriority w:val="99"/>
    <w:unhideWhenUsed/>
    <w:rsid w:val="002646A2"/>
    <w:rPr>
      <w:color w:val="605E5C"/>
      <w:shd w:val="clear" w:color="auto" w:fill="E1DFDD"/>
    </w:rPr>
  </w:style>
  <w:style w:type="character" w:customStyle="1" w:styleId="FontStyle54">
    <w:name w:val="Font Style54"/>
    <w:uiPriority w:val="99"/>
    <w:rsid w:val="00573B0D"/>
    <w:rPr>
      <w:rFonts w:ascii="Times New Roman" w:hAnsi="Times New Roman" w:cs="Times New Roman"/>
      <w:color w:val="000000"/>
      <w:sz w:val="18"/>
      <w:szCs w:val="18"/>
    </w:rPr>
  </w:style>
  <w:style w:type="table" w:customStyle="1" w:styleId="Tablaconcuadrcula5oscura-nfasis11">
    <w:name w:val="Tabla con cuadrícula 5 oscura - Énfasis 11"/>
    <w:basedOn w:val="Tablanormal"/>
    <w:next w:val="Tablaconcuadrcula5oscura-nfasis1"/>
    <w:uiPriority w:val="50"/>
    <w:rsid w:val="00573B0D"/>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7E7F0"/>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18AB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18AB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18AB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18AB3"/>
      </w:tcPr>
    </w:tblStylePr>
    <w:tblStylePr w:type="band1Vert">
      <w:tblPr/>
      <w:tcPr>
        <w:shd w:val="clear" w:color="auto" w:fill="B0D0E2"/>
      </w:tcPr>
    </w:tblStylePr>
    <w:tblStylePr w:type="band1Horz">
      <w:tblPr/>
      <w:tcPr>
        <w:shd w:val="clear" w:color="auto" w:fill="B0D0E2"/>
      </w:tcPr>
    </w:tblStylePr>
  </w:style>
  <w:style w:type="table" w:styleId="Tabladelista6concolores">
    <w:name w:val="List Table 6 Colorful"/>
    <w:basedOn w:val="Tablanormal"/>
    <w:uiPriority w:val="51"/>
    <w:rsid w:val="00573B0D"/>
    <w:rPr>
      <w:color w:val="000000" w:themeColor="text1"/>
      <w:sz w:val="22"/>
      <w:szCs w:val="22"/>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Cuadrculaclara">
    <w:name w:val="Light Grid"/>
    <w:basedOn w:val="Tablanormal"/>
    <w:uiPriority w:val="62"/>
    <w:rsid w:val="00573B0D"/>
    <w:rPr>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ablaconcuadrcula5oscura-nfasis1">
    <w:name w:val="Grid Table 5 Dark Accent 1"/>
    <w:basedOn w:val="Tablanormal"/>
    <w:uiPriority w:val="50"/>
    <w:rsid w:val="00573B0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adelista1clara">
    <w:name w:val="List Table 1 Light"/>
    <w:basedOn w:val="Tablanormal"/>
    <w:uiPriority w:val="46"/>
    <w:rsid w:val="00573B0D"/>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ANGLES">
    <w:name w:val="ANGLES"/>
    <w:basedOn w:val="Normal"/>
    <w:link w:val="ANGLESCar"/>
    <w:qFormat/>
    <w:rsid w:val="0081371D"/>
    <w:pPr>
      <w:spacing w:before="160" w:after="120" w:line="276" w:lineRule="auto"/>
      <w:jc w:val="both"/>
    </w:pPr>
    <w:rPr>
      <w:rFonts w:ascii="Arial" w:hAnsi="Arial"/>
      <w:sz w:val="20"/>
      <w:szCs w:val="20"/>
      <w:lang w:val="x-none" w:eastAsia="x-none"/>
    </w:rPr>
  </w:style>
  <w:style w:type="character" w:customStyle="1" w:styleId="ANGLESCar">
    <w:name w:val="ANGLES Car"/>
    <w:link w:val="ANGLES"/>
    <w:rsid w:val="0081371D"/>
    <w:rPr>
      <w:rFonts w:ascii="Arial" w:eastAsia="Times New Roman" w:hAnsi="Arial" w:cs="Times New Roman"/>
      <w:sz w:val="20"/>
      <w:szCs w:val="20"/>
      <w:lang w:val="x-none" w:eastAsia="x-none"/>
    </w:rPr>
  </w:style>
  <w:style w:type="paragraph" w:customStyle="1" w:styleId="normal2">
    <w:name w:val="normal 2"/>
    <w:basedOn w:val="Normal"/>
    <w:rsid w:val="0081371D"/>
    <w:pPr>
      <w:numPr>
        <w:numId w:val="2"/>
      </w:numPr>
      <w:spacing w:before="100" w:beforeAutospacing="1" w:line="360" w:lineRule="auto"/>
      <w:jc w:val="both"/>
    </w:pPr>
    <w:rPr>
      <w:rFonts w:ascii="Calibri" w:hAnsi="Calibri"/>
      <w:lang w:val="es-ES_tradnl" w:eastAsia="es-ES_tradnl"/>
    </w:rPr>
  </w:style>
  <w:style w:type="character" w:styleId="Refdenotaalfinal">
    <w:name w:val="endnote reference"/>
    <w:basedOn w:val="Fuentedeprrafopredeter"/>
    <w:uiPriority w:val="99"/>
    <w:semiHidden/>
    <w:unhideWhenUsed/>
    <w:rsid w:val="00D34625"/>
    <w:rPr>
      <w:vertAlign w:val="superscript"/>
    </w:rPr>
  </w:style>
  <w:style w:type="table" w:styleId="Tablaconcuadrcula">
    <w:name w:val="Table Grid"/>
    <w:basedOn w:val="Tablanormal"/>
    <w:uiPriority w:val="39"/>
    <w:rsid w:val="001D131F"/>
    <w:rPr>
      <w:rFonts w:ascii="Calibri" w:eastAsia="Calibri" w:hAnsi="Calibri" w:cs="Times New Roman"/>
      <w:sz w:val="22"/>
      <w:szCs w:val="22"/>
      <w:lang w:val="es-ES_trad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stilo1Car">
    <w:name w:val="Estilo 1 Car"/>
    <w:link w:val="Estilo1"/>
    <w:qFormat/>
    <w:locked/>
    <w:rsid w:val="00363B9D"/>
    <w:rPr>
      <w:bCs/>
      <w:lang w:eastAsia="es-EC"/>
    </w:rPr>
  </w:style>
  <w:style w:type="paragraph" w:customStyle="1" w:styleId="Estilo1">
    <w:name w:val="Estilo 1"/>
    <w:basedOn w:val="Normal"/>
    <w:link w:val="Estilo1Car"/>
    <w:autoRedefine/>
    <w:qFormat/>
    <w:rsid w:val="00363B9D"/>
    <w:pPr>
      <w:jc w:val="both"/>
    </w:pPr>
    <w:rPr>
      <w:rFonts w:asciiTheme="minorHAnsi" w:eastAsiaTheme="minorHAnsi" w:hAnsiTheme="minorHAnsi" w:cstheme="minorBidi"/>
      <w:bCs/>
      <w:lang w:eastAsia="es-EC"/>
    </w:rPr>
  </w:style>
  <w:style w:type="table" w:styleId="Tabladelista6concolores-nfasis3">
    <w:name w:val="List Table 6 Colorful Accent 3"/>
    <w:basedOn w:val="Tablanormal"/>
    <w:uiPriority w:val="51"/>
    <w:rsid w:val="00743857"/>
    <w:rPr>
      <w:rFonts w:eastAsiaTheme="minorEastAsia"/>
      <w:color w:val="7B7B7B" w:themeColor="accent3" w:themeShade="BF"/>
      <w:sz w:val="21"/>
      <w:szCs w:val="21"/>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DescripcinCar">
    <w:name w:val="Descripción Car"/>
    <w:basedOn w:val="Fuentedeprrafopredeter"/>
    <w:link w:val="Descripcin"/>
    <w:uiPriority w:val="35"/>
    <w:rsid w:val="00743857"/>
    <w:rPr>
      <w:rFonts w:ascii="Times New Roman" w:eastAsia="SimSun" w:hAnsi="Times New Roman" w:cs="SimSun"/>
      <w:i/>
      <w:iCs/>
      <w:color w:val="44546A" w:themeColor="text2"/>
      <w:sz w:val="18"/>
      <w:szCs w:val="18"/>
      <w:lang w:val="es-ES" w:eastAsia="es-MX"/>
    </w:rPr>
  </w:style>
  <w:style w:type="character" w:customStyle="1" w:styleId="PrrafodelistaCar">
    <w:name w:val="Párrafo de lista Car"/>
    <w:basedOn w:val="Fuentedeprrafopredeter"/>
    <w:link w:val="Prrafodelista"/>
    <w:uiPriority w:val="34"/>
    <w:rsid w:val="000357F6"/>
    <w:rPr>
      <w:rFonts w:ascii="Arial" w:hAnsi="Arial"/>
      <w:szCs w:val="22"/>
    </w:rPr>
  </w:style>
  <w:style w:type="character" w:customStyle="1" w:styleId="f">
    <w:name w:val="f"/>
    <w:basedOn w:val="Fuentedeprrafopredeter"/>
    <w:rsid w:val="00C9626F"/>
  </w:style>
  <w:style w:type="table" w:customStyle="1" w:styleId="Tablanormal21">
    <w:name w:val="Tabla normal 21"/>
    <w:basedOn w:val="Tablanormal"/>
    <w:uiPriority w:val="42"/>
    <w:rsid w:val="00762230"/>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tulo">
    <w:name w:val="Title"/>
    <w:basedOn w:val="Normal"/>
    <w:link w:val="TtuloCar"/>
    <w:uiPriority w:val="10"/>
    <w:qFormat/>
    <w:rsid w:val="00871C12"/>
    <w:pPr>
      <w:spacing w:before="120" w:after="240"/>
      <w:jc w:val="center"/>
    </w:pPr>
    <w:rPr>
      <w:b/>
      <w:szCs w:val="20"/>
      <w:lang w:val="en-US" w:eastAsia="pt-BR"/>
    </w:rPr>
  </w:style>
  <w:style w:type="character" w:customStyle="1" w:styleId="TtuloCar">
    <w:name w:val="Título Car"/>
    <w:basedOn w:val="Fuentedeprrafopredeter"/>
    <w:link w:val="Ttulo"/>
    <w:uiPriority w:val="10"/>
    <w:qFormat/>
    <w:rsid w:val="00871C12"/>
    <w:rPr>
      <w:rFonts w:ascii="Times New Roman" w:eastAsia="Times New Roman" w:hAnsi="Times New Roman" w:cs="Times New Roman"/>
      <w:b/>
      <w:szCs w:val="20"/>
      <w:lang w:val="en-US" w:eastAsia="pt-BR"/>
    </w:rPr>
  </w:style>
  <w:style w:type="character" w:customStyle="1" w:styleId="spelle">
    <w:name w:val="spelle"/>
    <w:basedOn w:val="Fuentedeprrafopredeter"/>
    <w:rsid w:val="00FE61EC"/>
  </w:style>
  <w:style w:type="paragraph" w:styleId="Textoindependiente">
    <w:name w:val="Body Text"/>
    <w:basedOn w:val="Normal"/>
    <w:link w:val="TextoindependienteCar"/>
    <w:uiPriority w:val="1"/>
    <w:qFormat/>
    <w:rsid w:val="00FE61EC"/>
    <w:pPr>
      <w:spacing w:before="120" w:after="120"/>
      <w:ind w:firstLine="360"/>
      <w:jc w:val="both"/>
    </w:pPr>
    <w:rPr>
      <w:sz w:val="20"/>
      <w:szCs w:val="20"/>
      <w:lang w:val="pt-BR" w:eastAsia="pt-BR"/>
    </w:rPr>
  </w:style>
  <w:style w:type="character" w:customStyle="1" w:styleId="TextoindependienteCar">
    <w:name w:val="Texto independiente Car"/>
    <w:basedOn w:val="Fuentedeprrafopredeter"/>
    <w:link w:val="Textoindependiente"/>
    <w:uiPriority w:val="1"/>
    <w:rsid w:val="00FE61EC"/>
    <w:rPr>
      <w:rFonts w:ascii="Times New Roman" w:eastAsia="Times New Roman" w:hAnsi="Times New Roman" w:cs="Times New Roman"/>
      <w:sz w:val="20"/>
      <w:szCs w:val="20"/>
      <w:lang w:val="pt-BR" w:eastAsia="pt-BR"/>
    </w:rPr>
  </w:style>
  <w:style w:type="table" w:styleId="Tablanormal2">
    <w:name w:val="Plain Table 2"/>
    <w:basedOn w:val="Tablanormal"/>
    <w:uiPriority w:val="42"/>
    <w:rsid w:val="00F3717E"/>
    <w:rPr>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5oscura">
    <w:name w:val="Grid Table 5 Dark"/>
    <w:basedOn w:val="Tablanormal"/>
    <w:uiPriority w:val="50"/>
    <w:rsid w:val="00F3717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paragraph" w:customStyle="1" w:styleId="IEEEparrafo">
    <w:name w:val="IEEE parrafo"/>
    <w:basedOn w:val="Normal"/>
    <w:link w:val="IEEEparrafoCar"/>
    <w:qFormat/>
    <w:rsid w:val="00183186"/>
    <w:pPr>
      <w:spacing w:line="259" w:lineRule="auto"/>
      <w:ind w:firstLine="227"/>
      <w:jc w:val="both"/>
    </w:pPr>
    <w:rPr>
      <w:rFonts w:eastAsiaTheme="minorHAnsi" w:cstheme="minorBidi"/>
      <w:sz w:val="20"/>
      <w:szCs w:val="22"/>
      <w:lang w:val="es-ES" w:eastAsia="en-US"/>
    </w:rPr>
  </w:style>
  <w:style w:type="character" w:customStyle="1" w:styleId="IEEEparrafoCar">
    <w:name w:val="IEEE parrafo Car"/>
    <w:basedOn w:val="Fuentedeprrafopredeter"/>
    <w:link w:val="IEEEparrafo"/>
    <w:rsid w:val="00183186"/>
    <w:rPr>
      <w:rFonts w:ascii="Times New Roman" w:hAnsi="Times New Roman"/>
      <w:sz w:val="20"/>
      <w:szCs w:val="22"/>
      <w:lang w:val="es-ES"/>
    </w:rPr>
  </w:style>
  <w:style w:type="paragraph" w:customStyle="1" w:styleId="IEEENivel1">
    <w:name w:val="IEEE Nivel 1"/>
    <w:basedOn w:val="Normal"/>
    <w:next w:val="IEEEparrafo"/>
    <w:qFormat/>
    <w:rsid w:val="00183186"/>
    <w:pPr>
      <w:spacing w:before="120" w:after="120" w:line="360" w:lineRule="auto"/>
      <w:jc w:val="center"/>
      <w:outlineLvl w:val="0"/>
    </w:pPr>
    <w:rPr>
      <w:rFonts w:eastAsiaTheme="minorHAnsi" w:cstheme="minorBidi"/>
      <w:sz w:val="20"/>
      <w:szCs w:val="22"/>
      <w:lang w:val="es-ES" w:eastAsia="en-US"/>
    </w:rPr>
  </w:style>
  <w:style w:type="paragraph" w:customStyle="1" w:styleId="IEEENivel2">
    <w:name w:val="IEEE Nivel 2"/>
    <w:basedOn w:val="Normal"/>
    <w:next w:val="IEEEparrafo"/>
    <w:link w:val="IEEENivel2Car"/>
    <w:qFormat/>
    <w:rsid w:val="00183186"/>
    <w:pPr>
      <w:spacing w:before="120" w:after="120" w:line="259" w:lineRule="auto"/>
      <w:ind w:left="720" w:hanging="720"/>
      <w:outlineLvl w:val="1"/>
    </w:pPr>
    <w:rPr>
      <w:rFonts w:eastAsiaTheme="minorHAnsi" w:cstheme="minorBidi"/>
      <w:i/>
      <w:sz w:val="20"/>
      <w:szCs w:val="22"/>
      <w:lang w:val="es-ES" w:eastAsia="en-US"/>
    </w:rPr>
  </w:style>
  <w:style w:type="paragraph" w:customStyle="1" w:styleId="IEEENivel3">
    <w:name w:val="IEEE Nivel 3"/>
    <w:basedOn w:val="Normal"/>
    <w:next w:val="IEEEparrafo"/>
    <w:link w:val="IEEENivel3Car"/>
    <w:qFormat/>
    <w:rsid w:val="00183186"/>
    <w:pPr>
      <w:spacing w:before="120" w:after="120" w:line="259" w:lineRule="auto"/>
      <w:ind w:left="1440" w:hanging="1440"/>
      <w:outlineLvl w:val="2"/>
    </w:pPr>
    <w:rPr>
      <w:rFonts w:eastAsiaTheme="minorHAnsi" w:cstheme="minorBidi"/>
      <w:i/>
      <w:sz w:val="20"/>
      <w:szCs w:val="22"/>
      <w:lang w:val="es-ES" w:eastAsia="en-US"/>
    </w:rPr>
  </w:style>
  <w:style w:type="character" w:customStyle="1" w:styleId="IEEENivel2Car">
    <w:name w:val="IEEE Nivel 2 Car"/>
    <w:basedOn w:val="Fuentedeprrafopredeter"/>
    <w:link w:val="IEEENivel2"/>
    <w:rsid w:val="00183186"/>
    <w:rPr>
      <w:rFonts w:ascii="Times New Roman" w:hAnsi="Times New Roman"/>
      <w:i/>
      <w:sz w:val="20"/>
      <w:szCs w:val="22"/>
      <w:lang w:val="es-ES"/>
    </w:rPr>
  </w:style>
  <w:style w:type="character" w:customStyle="1" w:styleId="IEEENivel3Car">
    <w:name w:val="IEEE Nivel 3 Car"/>
    <w:basedOn w:val="Fuentedeprrafopredeter"/>
    <w:link w:val="IEEENivel3"/>
    <w:rsid w:val="00183186"/>
    <w:rPr>
      <w:rFonts w:ascii="Times New Roman" w:hAnsi="Times New Roman"/>
      <w:i/>
      <w:sz w:val="20"/>
      <w:szCs w:val="22"/>
      <w:lang w:val="es-ES"/>
    </w:rPr>
  </w:style>
  <w:style w:type="table" w:customStyle="1" w:styleId="TableNormal">
    <w:name w:val="Table Normal"/>
    <w:uiPriority w:val="2"/>
    <w:semiHidden/>
    <w:unhideWhenUsed/>
    <w:qFormat/>
    <w:rsid w:val="0052669B"/>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DC1">
    <w:name w:val="toc 1"/>
    <w:basedOn w:val="Normal"/>
    <w:uiPriority w:val="39"/>
    <w:qFormat/>
    <w:rsid w:val="0052669B"/>
    <w:pPr>
      <w:widowControl w:val="0"/>
      <w:autoSpaceDE w:val="0"/>
      <w:autoSpaceDN w:val="0"/>
      <w:spacing w:before="20"/>
      <w:ind w:left="473"/>
      <w:jc w:val="center"/>
    </w:pPr>
    <w:rPr>
      <w:lang w:val="es-ES" w:eastAsia="en-US"/>
    </w:rPr>
  </w:style>
  <w:style w:type="paragraph" w:styleId="TDC2">
    <w:name w:val="toc 2"/>
    <w:basedOn w:val="Normal"/>
    <w:uiPriority w:val="39"/>
    <w:qFormat/>
    <w:rsid w:val="0052669B"/>
    <w:pPr>
      <w:widowControl w:val="0"/>
      <w:autoSpaceDE w:val="0"/>
      <w:autoSpaceDN w:val="0"/>
      <w:spacing w:before="60"/>
      <w:ind w:left="587"/>
    </w:pPr>
    <w:rPr>
      <w:b/>
      <w:bCs/>
      <w:lang w:val="es-ES" w:eastAsia="en-US"/>
    </w:rPr>
  </w:style>
  <w:style w:type="paragraph" w:styleId="TDC3">
    <w:name w:val="toc 3"/>
    <w:basedOn w:val="Normal"/>
    <w:uiPriority w:val="39"/>
    <w:qFormat/>
    <w:rsid w:val="0052669B"/>
    <w:pPr>
      <w:widowControl w:val="0"/>
      <w:autoSpaceDE w:val="0"/>
      <w:autoSpaceDN w:val="0"/>
      <w:spacing w:before="60"/>
      <w:ind w:left="1367" w:hanging="421"/>
    </w:pPr>
    <w:rPr>
      <w:lang w:val="es-ES" w:eastAsia="en-US"/>
    </w:rPr>
  </w:style>
  <w:style w:type="paragraph" w:styleId="TDC4">
    <w:name w:val="toc 4"/>
    <w:basedOn w:val="Normal"/>
    <w:uiPriority w:val="39"/>
    <w:qFormat/>
    <w:rsid w:val="0052669B"/>
    <w:pPr>
      <w:widowControl w:val="0"/>
      <w:autoSpaceDE w:val="0"/>
      <w:autoSpaceDN w:val="0"/>
      <w:spacing w:before="60"/>
      <w:ind w:left="1332" w:hanging="386"/>
    </w:pPr>
    <w:rPr>
      <w:sz w:val="22"/>
      <w:szCs w:val="22"/>
      <w:lang w:val="es-ES" w:eastAsia="en-US"/>
    </w:rPr>
  </w:style>
  <w:style w:type="paragraph" w:styleId="TDC5">
    <w:name w:val="toc 5"/>
    <w:basedOn w:val="Normal"/>
    <w:uiPriority w:val="39"/>
    <w:qFormat/>
    <w:rsid w:val="0052669B"/>
    <w:pPr>
      <w:widowControl w:val="0"/>
      <w:autoSpaceDE w:val="0"/>
      <w:autoSpaceDN w:val="0"/>
      <w:spacing w:before="60"/>
      <w:ind w:left="1907" w:hanging="601"/>
    </w:pPr>
    <w:rPr>
      <w:lang w:val="es-ES" w:eastAsia="en-US"/>
    </w:rPr>
  </w:style>
  <w:style w:type="paragraph" w:styleId="TDC6">
    <w:name w:val="toc 6"/>
    <w:basedOn w:val="Normal"/>
    <w:uiPriority w:val="39"/>
    <w:qFormat/>
    <w:rsid w:val="0052669B"/>
    <w:pPr>
      <w:widowControl w:val="0"/>
      <w:autoSpaceDE w:val="0"/>
      <w:autoSpaceDN w:val="0"/>
      <w:spacing w:before="60"/>
      <w:ind w:left="1857" w:hanging="551"/>
    </w:pPr>
    <w:rPr>
      <w:sz w:val="22"/>
      <w:szCs w:val="22"/>
      <w:lang w:val="es-ES" w:eastAsia="en-US"/>
    </w:rPr>
  </w:style>
  <w:style w:type="paragraph" w:styleId="TDC7">
    <w:name w:val="toc 7"/>
    <w:basedOn w:val="Normal"/>
    <w:uiPriority w:val="39"/>
    <w:qFormat/>
    <w:rsid w:val="0052669B"/>
    <w:pPr>
      <w:widowControl w:val="0"/>
      <w:autoSpaceDE w:val="0"/>
      <w:autoSpaceDN w:val="0"/>
      <w:spacing w:before="60"/>
      <w:ind w:left="2447" w:hanging="781"/>
    </w:pPr>
    <w:rPr>
      <w:lang w:val="es-ES" w:eastAsia="en-US"/>
    </w:rPr>
  </w:style>
  <w:style w:type="paragraph" w:styleId="TDC8">
    <w:name w:val="toc 8"/>
    <w:basedOn w:val="Normal"/>
    <w:uiPriority w:val="39"/>
    <w:qFormat/>
    <w:rsid w:val="0052669B"/>
    <w:pPr>
      <w:widowControl w:val="0"/>
      <w:autoSpaceDE w:val="0"/>
      <w:autoSpaceDN w:val="0"/>
      <w:spacing w:before="60"/>
      <w:ind w:left="2382" w:hanging="716"/>
    </w:pPr>
    <w:rPr>
      <w:sz w:val="22"/>
      <w:szCs w:val="22"/>
      <w:lang w:val="es-ES" w:eastAsia="en-US"/>
    </w:rPr>
  </w:style>
  <w:style w:type="paragraph" w:customStyle="1" w:styleId="TableParagraph">
    <w:name w:val="Table Paragraph"/>
    <w:basedOn w:val="Normal"/>
    <w:uiPriority w:val="1"/>
    <w:qFormat/>
    <w:rsid w:val="0052669B"/>
    <w:pPr>
      <w:widowControl w:val="0"/>
      <w:autoSpaceDE w:val="0"/>
      <w:autoSpaceDN w:val="0"/>
    </w:pPr>
    <w:rPr>
      <w:szCs w:val="22"/>
      <w:lang w:val="es-ES" w:eastAsia="en-US"/>
    </w:rPr>
  </w:style>
  <w:style w:type="paragraph" w:customStyle="1" w:styleId="Cuadrculamedia21">
    <w:name w:val="Cuadrícula media 21"/>
    <w:link w:val="Cuadrculamedia2Car"/>
    <w:uiPriority w:val="1"/>
    <w:qFormat/>
    <w:rsid w:val="0052669B"/>
    <w:rPr>
      <w:rFonts w:ascii="Arial" w:eastAsia="Times New Roman" w:hAnsi="Arial" w:cs="Times New Roman"/>
      <w:sz w:val="22"/>
      <w:szCs w:val="22"/>
      <w:lang w:val="en-US" w:bidi="en-US"/>
    </w:rPr>
  </w:style>
  <w:style w:type="character" w:customStyle="1" w:styleId="Cuadrculamedia2Car">
    <w:name w:val="Cuadrícula media 2 Car"/>
    <w:link w:val="Cuadrculamedia21"/>
    <w:uiPriority w:val="1"/>
    <w:rsid w:val="0052669B"/>
    <w:rPr>
      <w:rFonts w:ascii="Arial" w:eastAsia="Times New Roman" w:hAnsi="Arial" w:cs="Times New Roman"/>
      <w:sz w:val="22"/>
      <w:szCs w:val="22"/>
      <w:lang w:val="en-US" w:bidi="en-US"/>
    </w:rPr>
  </w:style>
  <w:style w:type="paragraph" w:customStyle="1" w:styleId="Listavistosa-nfasis11">
    <w:name w:val="Lista vistosa - Énfasis 11"/>
    <w:aliases w:val="punts,PUNTS"/>
    <w:basedOn w:val="Normal"/>
    <w:uiPriority w:val="34"/>
    <w:qFormat/>
    <w:rsid w:val="0052669B"/>
    <w:pPr>
      <w:spacing w:line="480" w:lineRule="auto"/>
      <w:ind w:left="720" w:firstLine="720"/>
      <w:contextualSpacing/>
    </w:pPr>
    <w:rPr>
      <w:szCs w:val="22"/>
      <w:lang w:val="es-ES" w:eastAsia="en-US" w:bidi="en-US"/>
    </w:rPr>
  </w:style>
  <w:style w:type="paragraph" w:customStyle="1" w:styleId="Tabladecuadrcula31">
    <w:name w:val="Tabla de cuadrícula 31"/>
    <w:basedOn w:val="Ttulo1"/>
    <w:next w:val="Normal"/>
    <w:uiPriority w:val="39"/>
    <w:unhideWhenUsed/>
    <w:qFormat/>
    <w:rsid w:val="0052669B"/>
    <w:pPr>
      <w:keepNext w:val="0"/>
      <w:keepLines w:val="0"/>
      <w:spacing w:before="0" w:line="480" w:lineRule="auto"/>
      <w:jc w:val="center"/>
      <w:outlineLvl w:val="9"/>
    </w:pPr>
    <w:rPr>
      <w:rFonts w:ascii="Times New Roman" w:eastAsia="Times New Roman" w:hAnsi="Times New Roman" w:cs="Times New Roman"/>
      <w:b/>
      <w:color w:val="auto"/>
      <w:sz w:val="24"/>
      <w:szCs w:val="22"/>
      <w:lang w:eastAsia="en-US" w:bidi="en-US"/>
    </w:rPr>
  </w:style>
  <w:style w:type="paragraph" w:styleId="Textodeglobo">
    <w:name w:val="Balloon Text"/>
    <w:basedOn w:val="Normal"/>
    <w:link w:val="TextodegloboCar"/>
    <w:uiPriority w:val="99"/>
    <w:semiHidden/>
    <w:unhideWhenUsed/>
    <w:rsid w:val="0052669B"/>
    <w:pPr>
      <w:ind w:firstLine="720"/>
    </w:pPr>
    <w:rPr>
      <w:rFonts w:ascii="Tahoma" w:hAnsi="Tahoma" w:cs="Tahoma"/>
      <w:sz w:val="16"/>
      <w:szCs w:val="16"/>
      <w:lang w:val="x-none" w:eastAsia="en-US" w:bidi="en-US"/>
    </w:rPr>
  </w:style>
  <w:style w:type="character" w:customStyle="1" w:styleId="TextodegloboCar">
    <w:name w:val="Texto de globo Car"/>
    <w:basedOn w:val="Fuentedeprrafopredeter"/>
    <w:link w:val="Textodeglobo"/>
    <w:uiPriority w:val="99"/>
    <w:semiHidden/>
    <w:rsid w:val="0052669B"/>
    <w:rPr>
      <w:rFonts w:ascii="Tahoma" w:eastAsia="Times New Roman" w:hAnsi="Tahoma" w:cs="Tahoma"/>
      <w:sz w:val="16"/>
      <w:szCs w:val="16"/>
      <w:lang w:val="x-none" w:bidi="en-US"/>
    </w:rPr>
  </w:style>
  <w:style w:type="paragraph" w:styleId="Subttulo">
    <w:name w:val="Subtitle"/>
    <w:basedOn w:val="Normal"/>
    <w:next w:val="Normal"/>
    <w:link w:val="SubttuloCar"/>
    <w:uiPriority w:val="11"/>
    <w:qFormat/>
    <w:rsid w:val="0052669B"/>
    <w:pPr>
      <w:numPr>
        <w:ilvl w:val="1"/>
      </w:numPr>
      <w:spacing w:line="480" w:lineRule="auto"/>
      <w:ind w:firstLine="720"/>
    </w:pPr>
    <w:rPr>
      <w:rFonts w:ascii="Franklin Gothic Book" w:hAnsi="Franklin Gothic Book"/>
      <w:i/>
      <w:iCs/>
      <w:color w:val="6EA0B0"/>
      <w:spacing w:val="15"/>
      <w:lang w:val="x-none" w:eastAsia="x-none"/>
    </w:rPr>
  </w:style>
  <w:style w:type="character" w:customStyle="1" w:styleId="SubttuloCar">
    <w:name w:val="Subtítulo Car"/>
    <w:basedOn w:val="Fuentedeprrafopredeter"/>
    <w:link w:val="Subttulo"/>
    <w:uiPriority w:val="11"/>
    <w:qFormat/>
    <w:rsid w:val="0052669B"/>
    <w:rPr>
      <w:rFonts w:ascii="Franklin Gothic Book" w:eastAsia="Times New Roman" w:hAnsi="Franklin Gothic Book" w:cs="Times New Roman"/>
      <w:i/>
      <w:iCs/>
      <w:color w:val="6EA0B0"/>
      <w:spacing w:val="15"/>
      <w:lang w:val="x-none" w:eastAsia="x-none"/>
    </w:rPr>
  </w:style>
  <w:style w:type="paragraph" w:customStyle="1" w:styleId="Cuadrculavistosa-nfasis11">
    <w:name w:val="Cuadrícula vistosa - Énfasis 11"/>
    <w:basedOn w:val="Normal"/>
    <w:next w:val="Normal"/>
    <w:link w:val="Cuadrculavistosa-nfasis1Car"/>
    <w:uiPriority w:val="29"/>
    <w:qFormat/>
    <w:rsid w:val="0052669B"/>
    <w:pPr>
      <w:spacing w:line="480" w:lineRule="auto"/>
      <w:ind w:firstLine="720"/>
    </w:pPr>
    <w:rPr>
      <w:rFonts w:ascii="Arial" w:hAnsi="Arial"/>
      <w:i/>
      <w:iCs/>
      <w:color w:val="000000"/>
      <w:sz w:val="20"/>
      <w:szCs w:val="20"/>
      <w:lang w:val="x-none" w:eastAsia="x-none"/>
    </w:rPr>
  </w:style>
  <w:style w:type="character" w:customStyle="1" w:styleId="Cuadrculavistosa-nfasis1Car">
    <w:name w:val="Cuadrícula vistosa - Énfasis 1 Car"/>
    <w:link w:val="Cuadrculavistosa-nfasis11"/>
    <w:uiPriority w:val="29"/>
    <w:rsid w:val="0052669B"/>
    <w:rPr>
      <w:rFonts w:ascii="Arial" w:eastAsia="Times New Roman" w:hAnsi="Arial" w:cs="Times New Roman"/>
      <w:i/>
      <w:iCs/>
      <w:color w:val="000000"/>
      <w:sz w:val="20"/>
      <w:szCs w:val="20"/>
      <w:lang w:val="x-none" w:eastAsia="x-none"/>
    </w:rPr>
  </w:style>
  <w:style w:type="paragraph" w:customStyle="1" w:styleId="Sombreadoclaro-nfasis21">
    <w:name w:val="Sombreado claro - Énfasis 21"/>
    <w:basedOn w:val="Normal"/>
    <w:next w:val="Normal"/>
    <w:link w:val="Sombreadoclaro-nfasis2Car"/>
    <w:uiPriority w:val="30"/>
    <w:qFormat/>
    <w:rsid w:val="0052669B"/>
    <w:pPr>
      <w:pBdr>
        <w:bottom w:val="single" w:sz="4" w:space="4" w:color="6EA0B0"/>
      </w:pBdr>
      <w:spacing w:before="200" w:after="280" w:line="480" w:lineRule="auto"/>
      <w:ind w:left="936" w:right="936" w:firstLine="720"/>
    </w:pPr>
    <w:rPr>
      <w:rFonts w:ascii="Arial" w:hAnsi="Arial"/>
      <w:b/>
      <w:bCs/>
      <w:i/>
      <w:iCs/>
      <w:color w:val="6EA0B0"/>
      <w:sz w:val="20"/>
      <w:szCs w:val="20"/>
      <w:lang w:val="x-none" w:eastAsia="x-none"/>
    </w:rPr>
  </w:style>
  <w:style w:type="character" w:customStyle="1" w:styleId="Sombreadoclaro-nfasis2Car">
    <w:name w:val="Sombreado claro - Énfasis 2 Car"/>
    <w:link w:val="Sombreadoclaro-nfasis21"/>
    <w:uiPriority w:val="30"/>
    <w:rsid w:val="0052669B"/>
    <w:rPr>
      <w:rFonts w:ascii="Arial" w:eastAsia="Times New Roman" w:hAnsi="Arial" w:cs="Times New Roman"/>
      <w:b/>
      <w:bCs/>
      <w:i/>
      <w:iCs/>
      <w:color w:val="6EA0B0"/>
      <w:sz w:val="20"/>
      <w:szCs w:val="20"/>
      <w:lang w:val="x-none" w:eastAsia="x-none"/>
    </w:rPr>
  </w:style>
  <w:style w:type="character" w:customStyle="1" w:styleId="Tablanormal31">
    <w:name w:val="Tabla normal 31"/>
    <w:uiPriority w:val="19"/>
    <w:qFormat/>
    <w:rsid w:val="0052669B"/>
    <w:rPr>
      <w:i/>
      <w:iCs/>
      <w:color w:val="808080"/>
    </w:rPr>
  </w:style>
  <w:style w:type="character" w:customStyle="1" w:styleId="Tablanormal41">
    <w:name w:val="Tabla normal 41"/>
    <w:uiPriority w:val="21"/>
    <w:qFormat/>
    <w:rsid w:val="0052669B"/>
    <w:rPr>
      <w:b/>
      <w:bCs/>
      <w:i/>
      <w:iCs/>
      <w:color w:val="6EA0B0"/>
    </w:rPr>
  </w:style>
  <w:style w:type="character" w:customStyle="1" w:styleId="Tablanormal51">
    <w:name w:val="Tabla normal 51"/>
    <w:uiPriority w:val="31"/>
    <w:qFormat/>
    <w:rsid w:val="0052669B"/>
    <w:rPr>
      <w:smallCaps/>
      <w:color w:val="CCAF0A"/>
      <w:u w:val="single"/>
    </w:rPr>
  </w:style>
  <w:style w:type="character" w:customStyle="1" w:styleId="Cuadrculadetablaclara1">
    <w:name w:val="Cuadrícula de tabla clara1"/>
    <w:uiPriority w:val="32"/>
    <w:qFormat/>
    <w:rsid w:val="0052669B"/>
    <w:rPr>
      <w:b/>
      <w:bCs/>
      <w:smallCaps/>
      <w:color w:val="CCAF0A"/>
      <w:spacing w:val="5"/>
      <w:u w:val="single"/>
    </w:rPr>
  </w:style>
  <w:style w:type="character" w:customStyle="1" w:styleId="Tabladecuadrcula1clara1">
    <w:name w:val="Tabla de cuadrícula 1 clara1"/>
    <w:uiPriority w:val="33"/>
    <w:qFormat/>
    <w:rsid w:val="0052669B"/>
    <w:rPr>
      <w:b/>
      <w:bCs/>
      <w:smallCaps/>
      <w:spacing w:val="5"/>
    </w:rPr>
  </w:style>
  <w:style w:type="table" w:customStyle="1" w:styleId="Listaclara-nfasis12">
    <w:name w:val="Lista clara - Énfasis 12"/>
    <w:basedOn w:val="Tablanormal"/>
    <w:uiPriority w:val="61"/>
    <w:rsid w:val="0052669B"/>
    <w:rPr>
      <w:rFonts w:ascii="Arial" w:eastAsia="Times New Roman" w:hAnsi="Arial" w:cs="Times New Roman"/>
      <w:lang w:eastAsia="es-EC"/>
    </w:rPr>
    <w:tblPr>
      <w:tblStyleRowBandSize w:val="1"/>
      <w:tblStyleColBandSize w:val="1"/>
      <w:tblBorders>
        <w:top w:val="single" w:sz="8" w:space="0" w:color="6EA0B0"/>
        <w:left w:val="single" w:sz="8" w:space="0" w:color="6EA0B0"/>
        <w:bottom w:val="single" w:sz="8" w:space="0" w:color="6EA0B0"/>
        <w:right w:val="single" w:sz="8" w:space="0" w:color="6EA0B0"/>
      </w:tblBorders>
    </w:tblPr>
    <w:tblStylePr w:type="firstRow">
      <w:pPr>
        <w:spacing w:before="0" w:after="0" w:line="240" w:lineRule="auto"/>
      </w:pPr>
      <w:rPr>
        <w:b/>
        <w:bCs/>
        <w:color w:val="FFFFFF"/>
      </w:rPr>
      <w:tblPr/>
      <w:tcPr>
        <w:shd w:val="clear" w:color="auto" w:fill="6EA0B0"/>
      </w:tcPr>
    </w:tblStylePr>
    <w:tblStylePr w:type="lastRow">
      <w:pPr>
        <w:spacing w:before="0" w:after="0" w:line="240" w:lineRule="auto"/>
      </w:pPr>
      <w:rPr>
        <w:b/>
        <w:bCs/>
      </w:rPr>
      <w:tblPr/>
      <w:tcPr>
        <w:tcBorders>
          <w:top w:val="double" w:sz="6" w:space="0" w:color="6EA0B0"/>
          <w:left w:val="single" w:sz="8" w:space="0" w:color="6EA0B0"/>
          <w:bottom w:val="single" w:sz="8" w:space="0" w:color="6EA0B0"/>
          <w:right w:val="single" w:sz="8" w:space="0" w:color="6EA0B0"/>
        </w:tcBorders>
      </w:tcPr>
    </w:tblStylePr>
    <w:tblStylePr w:type="firstCol">
      <w:rPr>
        <w:b/>
        <w:bCs/>
      </w:rPr>
    </w:tblStylePr>
    <w:tblStylePr w:type="lastCol">
      <w:rPr>
        <w:b/>
        <w:bCs/>
      </w:rPr>
    </w:tblStylePr>
    <w:tblStylePr w:type="band1Vert">
      <w:tblPr/>
      <w:tcPr>
        <w:tcBorders>
          <w:top w:val="single" w:sz="8" w:space="0" w:color="6EA0B0"/>
          <w:left w:val="single" w:sz="8" w:space="0" w:color="6EA0B0"/>
          <w:bottom w:val="single" w:sz="8" w:space="0" w:color="6EA0B0"/>
          <w:right w:val="single" w:sz="8" w:space="0" w:color="6EA0B0"/>
        </w:tcBorders>
      </w:tcPr>
    </w:tblStylePr>
    <w:tblStylePr w:type="band1Horz">
      <w:tblPr/>
      <w:tcPr>
        <w:tcBorders>
          <w:top w:val="single" w:sz="8" w:space="0" w:color="6EA0B0"/>
          <w:left w:val="single" w:sz="8" w:space="0" w:color="6EA0B0"/>
          <w:bottom w:val="single" w:sz="8" w:space="0" w:color="6EA0B0"/>
          <w:right w:val="single" w:sz="8" w:space="0" w:color="6EA0B0"/>
        </w:tcBorders>
      </w:tcPr>
    </w:tblStylePr>
  </w:style>
  <w:style w:type="character" w:customStyle="1" w:styleId="gt-icon-text1">
    <w:name w:val="gt-icon-text1"/>
    <w:basedOn w:val="Fuentedeprrafopredeter"/>
    <w:rsid w:val="0052669B"/>
  </w:style>
  <w:style w:type="table" w:customStyle="1" w:styleId="Sombreadoclaro-nfasis11">
    <w:name w:val="Sombreado claro - Énfasis 11"/>
    <w:basedOn w:val="Tablanormal"/>
    <w:uiPriority w:val="60"/>
    <w:rsid w:val="0052669B"/>
    <w:rPr>
      <w:rFonts w:ascii="Arial" w:eastAsia="Times New Roman" w:hAnsi="Arial" w:cs="Times New Roman"/>
      <w:color w:val="4B7B8A"/>
      <w:lang w:eastAsia="es-EC"/>
    </w:rPr>
    <w:tblPr>
      <w:tblStyleRowBandSize w:val="1"/>
      <w:tblStyleColBandSize w:val="1"/>
      <w:tblBorders>
        <w:top w:val="single" w:sz="8" w:space="0" w:color="6EA0B0"/>
        <w:bottom w:val="single" w:sz="8" w:space="0" w:color="6EA0B0"/>
      </w:tblBorders>
    </w:tblPr>
    <w:tblStylePr w:type="fir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lastRow">
      <w:pPr>
        <w:spacing w:before="0" w:after="0" w:line="240" w:lineRule="auto"/>
      </w:pPr>
      <w:rPr>
        <w:b/>
        <w:bCs/>
      </w:rPr>
      <w:tblPr/>
      <w:tcPr>
        <w:tcBorders>
          <w:top w:val="single" w:sz="8" w:space="0" w:color="6EA0B0"/>
          <w:left w:val="nil"/>
          <w:bottom w:val="single" w:sz="8" w:space="0" w:color="6EA0B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AE7EB"/>
      </w:tcPr>
    </w:tblStylePr>
    <w:tblStylePr w:type="band1Horz">
      <w:tblPr/>
      <w:tcPr>
        <w:tcBorders>
          <w:left w:val="nil"/>
          <w:right w:val="nil"/>
          <w:insideH w:val="nil"/>
          <w:insideV w:val="nil"/>
        </w:tcBorders>
        <w:shd w:val="clear" w:color="auto" w:fill="DAE7EB"/>
      </w:tcPr>
    </w:tblStylePr>
  </w:style>
  <w:style w:type="paragraph" w:customStyle="1" w:styleId="Sombreadovistoso-nfasis11">
    <w:name w:val="Sombreado vistoso - Énfasis 11"/>
    <w:hidden/>
    <w:uiPriority w:val="99"/>
    <w:semiHidden/>
    <w:rsid w:val="0052669B"/>
    <w:rPr>
      <w:rFonts w:ascii="Calibri" w:eastAsia="Times New Roman" w:hAnsi="Calibri" w:cs="Times New Roman"/>
      <w:sz w:val="22"/>
      <w:szCs w:val="22"/>
      <w:lang w:val="es-ES" w:bidi="en-US"/>
    </w:rPr>
  </w:style>
  <w:style w:type="paragraph" w:styleId="Mapadeldocumento">
    <w:name w:val="Document Map"/>
    <w:basedOn w:val="Normal"/>
    <w:link w:val="MapadeldocumentoCar"/>
    <w:uiPriority w:val="99"/>
    <w:semiHidden/>
    <w:unhideWhenUsed/>
    <w:rsid w:val="0052669B"/>
    <w:pPr>
      <w:ind w:firstLine="720"/>
    </w:pPr>
    <w:rPr>
      <w:rFonts w:ascii="Tahoma" w:hAnsi="Tahoma" w:cs="Tahoma"/>
      <w:sz w:val="16"/>
      <w:szCs w:val="16"/>
      <w:lang w:val="x-none" w:eastAsia="en-US" w:bidi="en-US"/>
    </w:rPr>
  </w:style>
  <w:style w:type="character" w:customStyle="1" w:styleId="MapadeldocumentoCar">
    <w:name w:val="Mapa del documento Car"/>
    <w:basedOn w:val="Fuentedeprrafopredeter"/>
    <w:link w:val="Mapadeldocumento"/>
    <w:uiPriority w:val="99"/>
    <w:semiHidden/>
    <w:rsid w:val="0052669B"/>
    <w:rPr>
      <w:rFonts w:ascii="Tahoma" w:eastAsia="Times New Roman" w:hAnsi="Tahoma" w:cs="Tahoma"/>
      <w:sz w:val="16"/>
      <w:szCs w:val="16"/>
      <w:lang w:val="x-none" w:bidi="en-US"/>
    </w:rPr>
  </w:style>
  <w:style w:type="paragraph" w:styleId="Sangra3detindependiente">
    <w:name w:val="Body Text Indent 3"/>
    <w:basedOn w:val="Normal"/>
    <w:link w:val="Sangra3detindependienteCar"/>
    <w:rsid w:val="0052669B"/>
    <w:pPr>
      <w:ind w:left="1440" w:firstLine="720"/>
    </w:pPr>
    <w:rPr>
      <w:i/>
      <w:iCs/>
      <w:sz w:val="20"/>
      <w:lang w:val="x-none" w:eastAsia="x-none"/>
    </w:rPr>
  </w:style>
  <w:style w:type="character" w:customStyle="1" w:styleId="Sangra3detindependienteCar">
    <w:name w:val="Sangría 3 de t. independiente Car"/>
    <w:basedOn w:val="Fuentedeprrafopredeter"/>
    <w:link w:val="Sangra3detindependiente"/>
    <w:rsid w:val="0052669B"/>
    <w:rPr>
      <w:rFonts w:ascii="Times New Roman" w:eastAsia="Times New Roman" w:hAnsi="Times New Roman" w:cs="Times New Roman"/>
      <w:i/>
      <w:iCs/>
      <w:sz w:val="20"/>
      <w:lang w:val="x-none" w:eastAsia="x-none"/>
    </w:rPr>
  </w:style>
  <w:style w:type="paragraph" w:styleId="Textoindependiente2">
    <w:name w:val="Body Text 2"/>
    <w:basedOn w:val="Normal"/>
    <w:link w:val="Textoindependiente2Car"/>
    <w:uiPriority w:val="99"/>
    <w:semiHidden/>
    <w:unhideWhenUsed/>
    <w:rsid w:val="0052669B"/>
    <w:pPr>
      <w:spacing w:line="480" w:lineRule="auto"/>
      <w:ind w:firstLine="720"/>
    </w:pPr>
    <w:rPr>
      <w:szCs w:val="22"/>
      <w:lang w:val="x-none" w:eastAsia="en-US" w:bidi="en-US"/>
    </w:rPr>
  </w:style>
  <w:style w:type="character" w:customStyle="1" w:styleId="Textoindependiente2Car">
    <w:name w:val="Texto independiente 2 Car"/>
    <w:basedOn w:val="Fuentedeprrafopredeter"/>
    <w:link w:val="Textoindependiente2"/>
    <w:uiPriority w:val="99"/>
    <w:semiHidden/>
    <w:rsid w:val="0052669B"/>
    <w:rPr>
      <w:rFonts w:ascii="Times New Roman" w:eastAsia="Times New Roman" w:hAnsi="Times New Roman" w:cs="Times New Roman"/>
      <w:szCs w:val="22"/>
      <w:lang w:val="x-none" w:bidi="en-US"/>
    </w:rPr>
  </w:style>
  <w:style w:type="paragraph" w:styleId="Sangradetextonormal">
    <w:name w:val="Body Text Indent"/>
    <w:basedOn w:val="Normal"/>
    <w:link w:val="SangradetextonormalCar"/>
    <w:uiPriority w:val="99"/>
    <w:semiHidden/>
    <w:unhideWhenUsed/>
    <w:rsid w:val="0052669B"/>
    <w:pPr>
      <w:spacing w:line="480" w:lineRule="auto"/>
      <w:ind w:left="283" w:firstLine="720"/>
    </w:pPr>
    <w:rPr>
      <w:szCs w:val="22"/>
      <w:lang w:val="x-none" w:eastAsia="en-US" w:bidi="en-US"/>
    </w:rPr>
  </w:style>
  <w:style w:type="character" w:customStyle="1" w:styleId="SangradetextonormalCar">
    <w:name w:val="Sangría de texto normal Car"/>
    <w:basedOn w:val="Fuentedeprrafopredeter"/>
    <w:link w:val="Sangradetextonormal"/>
    <w:uiPriority w:val="99"/>
    <w:semiHidden/>
    <w:rsid w:val="0052669B"/>
    <w:rPr>
      <w:rFonts w:ascii="Times New Roman" w:eastAsia="Times New Roman" w:hAnsi="Times New Roman" w:cs="Times New Roman"/>
      <w:szCs w:val="22"/>
      <w:lang w:val="x-none" w:bidi="en-US"/>
    </w:rPr>
  </w:style>
  <w:style w:type="paragraph" w:customStyle="1" w:styleId="Default">
    <w:name w:val="Default"/>
    <w:rsid w:val="0052669B"/>
    <w:pPr>
      <w:autoSpaceDE w:val="0"/>
      <w:autoSpaceDN w:val="0"/>
      <w:adjustRightInd w:val="0"/>
    </w:pPr>
    <w:rPr>
      <w:rFonts w:ascii="Arial" w:eastAsia="Times New Roman" w:hAnsi="Arial" w:cs="Arial"/>
      <w:color w:val="000000"/>
      <w:lang w:val="es-ES" w:eastAsia="es-ES"/>
    </w:rPr>
  </w:style>
  <w:style w:type="character" w:customStyle="1" w:styleId="hps">
    <w:name w:val="hps"/>
    <w:basedOn w:val="Fuentedeprrafopredeter"/>
    <w:rsid w:val="0052669B"/>
  </w:style>
  <w:style w:type="paragraph" w:customStyle="1" w:styleId="Prrafonormal">
    <w:name w:val="Párrafo normal"/>
    <w:qFormat/>
    <w:rsid w:val="009371B4"/>
    <w:pPr>
      <w:autoSpaceDE w:val="0"/>
      <w:autoSpaceDN w:val="0"/>
      <w:adjustRightInd w:val="0"/>
      <w:spacing w:before="240" w:after="240" w:line="360" w:lineRule="auto"/>
      <w:ind w:firstLine="720"/>
      <w:jc w:val="both"/>
    </w:pPr>
    <w:rPr>
      <w:rFonts w:ascii="Times New Roman" w:eastAsia="Calibri" w:hAnsi="Times New Roman" w:cs="Times New Roman"/>
      <w:color w:val="000000"/>
      <w:lang w:val="es-ES"/>
    </w:rPr>
  </w:style>
  <w:style w:type="paragraph" w:styleId="z-Principiodelformulario">
    <w:name w:val="HTML Top of Form"/>
    <w:basedOn w:val="Normal"/>
    <w:next w:val="Normal"/>
    <w:link w:val="z-PrincipiodelformularioCar"/>
    <w:hidden/>
    <w:uiPriority w:val="99"/>
    <w:semiHidden/>
    <w:unhideWhenUsed/>
    <w:rsid w:val="00D651F9"/>
    <w:pPr>
      <w:pBdr>
        <w:bottom w:val="single" w:sz="6" w:space="1" w:color="auto"/>
      </w:pBdr>
      <w:jc w:val="center"/>
    </w:pPr>
    <w:rPr>
      <w:rFonts w:ascii="Arial" w:hAnsi="Arial" w:cs="Arial"/>
      <w:vanish/>
      <w:sz w:val="16"/>
      <w:szCs w:val="16"/>
      <w:lang w:eastAsia="es-ES_tradnl"/>
    </w:rPr>
  </w:style>
  <w:style w:type="character" w:customStyle="1" w:styleId="z-PrincipiodelformularioCar">
    <w:name w:val="z-Principio del formulario Car"/>
    <w:basedOn w:val="Fuentedeprrafopredeter"/>
    <w:link w:val="z-Principiodelformulario"/>
    <w:uiPriority w:val="99"/>
    <w:semiHidden/>
    <w:rsid w:val="00D651F9"/>
    <w:rPr>
      <w:rFonts w:ascii="Arial" w:eastAsia="Times New Roman" w:hAnsi="Arial" w:cs="Arial"/>
      <w:vanish/>
      <w:sz w:val="16"/>
      <w:szCs w:val="16"/>
      <w:lang w:eastAsia="es-ES_tradnl"/>
    </w:rPr>
  </w:style>
  <w:style w:type="paragraph" w:customStyle="1" w:styleId="Cuerpo">
    <w:name w:val="Cuerpo"/>
    <w:rsid w:val="00D651F9"/>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eastAsia="es-EC"/>
    </w:rPr>
  </w:style>
  <w:style w:type="table" w:customStyle="1" w:styleId="TableGrid0">
    <w:name w:val="Table Grid0"/>
    <w:basedOn w:val="Tablanormal"/>
    <w:uiPriority w:val="3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D651F9"/>
    <w:rPr>
      <w:sz w:val="16"/>
      <w:szCs w:val="16"/>
    </w:rPr>
  </w:style>
  <w:style w:type="paragraph" w:styleId="Textocomentario">
    <w:name w:val="annotation text"/>
    <w:basedOn w:val="Normal"/>
    <w:link w:val="TextocomentarioCar"/>
    <w:uiPriority w:val="99"/>
    <w:unhideWhenUsed/>
    <w:rsid w:val="00D651F9"/>
    <w:pPr>
      <w:spacing w:before="100" w:after="200"/>
    </w:pPr>
    <w:rPr>
      <w:sz w:val="20"/>
      <w:szCs w:val="20"/>
      <w:lang w:eastAsia="en-US"/>
    </w:rPr>
  </w:style>
  <w:style w:type="character" w:customStyle="1" w:styleId="TextocomentarioCar">
    <w:name w:val="Texto comentario Car"/>
    <w:basedOn w:val="Fuentedeprrafopredeter"/>
    <w:link w:val="Textocomentario"/>
    <w:uiPriority w:val="99"/>
    <w:rsid w:val="00D651F9"/>
    <w:rPr>
      <w:rFonts w:ascii="Times New Roman" w:eastAsia="Times New Roman" w:hAnsi="Times New Roman" w:cs="Times New Roman"/>
      <w:sz w:val="20"/>
      <w:szCs w:val="20"/>
    </w:rPr>
  </w:style>
  <w:style w:type="numbering" w:customStyle="1" w:styleId="Nmero">
    <w:name w:val="Número"/>
    <w:rsid w:val="00D651F9"/>
    <w:pPr>
      <w:numPr>
        <w:numId w:val="3"/>
      </w:numPr>
    </w:pPr>
  </w:style>
  <w:style w:type="paragraph" w:styleId="Asuntodelcomentario">
    <w:name w:val="annotation subject"/>
    <w:basedOn w:val="Textocomentario"/>
    <w:next w:val="Textocomentario"/>
    <w:link w:val="AsuntodelcomentarioCar"/>
    <w:uiPriority w:val="99"/>
    <w:semiHidden/>
    <w:unhideWhenUsed/>
    <w:rsid w:val="00D651F9"/>
    <w:pPr>
      <w:spacing w:before="0" w:after="160"/>
    </w:pPr>
    <w:rPr>
      <w:b/>
      <w:bCs/>
      <w:lang w:eastAsia="es-EC"/>
    </w:rPr>
  </w:style>
  <w:style w:type="character" w:customStyle="1" w:styleId="AsuntodelcomentarioCar">
    <w:name w:val="Asunto del comentario Car"/>
    <w:basedOn w:val="TextocomentarioCar"/>
    <w:link w:val="Asuntodelcomentario"/>
    <w:uiPriority w:val="99"/>
    <w:semiHidden/>
    <w:rsid w:val="00D651F9"/>
    <w:rPr>
      <w:rFonts w:ascii="Times New Roman" w:eastAsia="Times New Roman" w:hAnsi="Times New Roman" w:cs="Times New Roman"/>
      <w:b/>
      <w:bCs/>
      <w:sz w:val="20"/>
      <w:szCs w:val="20"/>
      <w:lang w:eastAsia="es-EC"/>
    </w:rPr>
  </w:style>
  <w:style w:type="table" w:styleId="Tabladecuadrcula3">
    <w:name w:val="Grid Table 3"/>
    <w:basedOn w:val="Tablanormal"/>
    <w:uiPriority w:val="48"/>
    <w:rsid w:val="00D651F9"/>
    <w:rPr>
      <w:rFonts w:eastAsiaTheme="minorEastAsia"/>
      <w:sz w:val="22"/>
      <w:szCs w:val="22"/>
      <w:lang w:eastAsia="es-EC"/>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4-nfasis6">
    <w:name w:val="Grid Table 4 Accent 6"/>
    <w:basedOn w:val="Tablanormal"/>
    <w:uiPriority w:val="49"/>
    <w:rsid w:val="00D651F9"/>
    <w:rPr>
      <w:rFonts w:eastAsiaTheme="minorEastAsia"/>
      <w:sz w:val="22"/>
      <w:szCs w:val="22"/>
      <w:lang w:eastAsia="es-EC"/>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CdigoHTML">
    <w:name w:val="HTML Code"/>
    <w:basedOn w:val="Fuentedeprrafopredeter"/>
    <w:uiPriority w:val="99"/>
    <w:semiHidden/>
    <w:unhideWhenUsed/>
    <w:rsid w:val="00D651F9"/>
    <w:rPr>
      <w:rFonts w:ascii="Courier New" w:eastAsia="Times New Roman" w:hAnsi="Courier New" w:cs="Courier New"/>
      <w:sz w:val="20"/>
      <w:szCs w:val="20"/>
    </w:rPr>
  </w:style>
  <w:style w:type="paragraph" w:customStyle="1" w:styleId="sc-pamrk">
    <w:name w:val="sc-pamrk"/>
    <w:basedOn w:val="Normal"/>
    <w:rsid w:val="00D651F9"/>
    <w:pPr>
      <w:spacing w:before="100" w:beforeAutospacing="1" w:after="100" w:afterAutospacing="1"/>
    </w:pPr>
    <w:rPr>
      <w:lang w:eastAsia="es-ES_tradnl"/>
    </w:rPr>
  </w:style>
  <w:style w:type="character" w:customStyle="1" w:styleId="sc-pjvlq">
    <w:name w:val="sc-pjvlq"/>
    <w:basedOn w:val="Fuentedeprrafopredeter"/>
    <w:rsid w:val="00D651F9"/>
  </w:style>
  <w:style w:type="character" w:customStyle="1" w:styleId="sc-pcwqy">
    <w:name w:val="sc-pcwqy"/>
    <w:basedOn w:val="Fuentedeprrafopredeter"/>
    <w:rsid w:val="00D651F9"/>
  </w:style>
  <w:style w:type="paragraph" w:customStyle="1" w:styleId="sc-fzoxkx">
    <w:name w:val="sc-fzoxkx"/>
    <w:basedOn w:val="Normal"/>
    <w:rsid w:val="00D651F9"/>
    <w:pPr>
      <w:spacing w:before="100" w:beforeAutospacing="1" w:after="100" w:afterAutospacing="1"/>
    </w:pPr>
    <w:rPr>
      <w:lang w:eastAsia="es-ES_tradnl"/>
    </w:rPr>
  </w:style>
  <w:style w:type="paragraph" w:customStyle="1" w:styleId="sc-fzqmaw">
    <w:name w:val="sc-fzqmaw"/>
    <w:basedOn w:val="Normal"/>
    <w:rsid w:val="00D651F9"/>
    <w:pPr>
      <w:spacing w:before="100" w:beforeAutospacing="1" w:after="100" w:afterAutospacing="1"/>
    </w:pPr>
    <w:rPr>
      <w:lang w:eastAsia="es-ES_tradnl"/>
    </w:rPr>
  </w:style>
  <w:style w:type="paragraph" w:customStyle="1" w:styleId="selectable-text">
    <w:name w:val="selectable-text"/>
    <w:basedOn w:val="Normal"/>
    <w:rsid w:val="00D651F9"/>
    <w:pPr>
      <w:spacing w:before="100" w:beforeAutospacing="1" w:after="100" w:afterAutospacing="1"/>
    </w:pPr>
    <w:rPr>
      <w:lang w:eastAsia="es-ES_tradnl"/>
    </w:rPr>
  </w:style>
  <w:style w:type="character" w:customStyle="1" w:styleId="selectable-text1">
    <w:name w:val="selectable-text1"/>
    <w:basedOn w:val="Fuentedeprrafopredeter"/>
    <w:rsid w:val="00D651F9"/>
  </w:style>
  <w:style w:type="paragraph" w:styleId="z-Finaldelformulario">
    <w:name w:val="HTML Bottom of Form"/>
    <w:basedOn w:val="Normal"/>
    <w:next w:val="Normal"/>
    <w:link w:val="z-FinaldelformularioCar"/>
    <w:hidden/>
    <w:uiPriority w:val="99"/>
    <w:semiHidden/>
    <w:unhideWhenUsed/>
    <w:rsid w:val="00D651F9"/>
    <w:pPr>
      <w:pBdr>
        <w:top w:val="single" w:sz="6" w:space="1" w:color="auto"/>
      </w:pBdr>
      <w:jc w:val="center"/>
    </w:pPr>
    <w:rPr>
      <w:rFonts w:ascii="Arial" w:hAnsi="Arial" w:cs="Arial"/>
      <w:vanish/>
      <w:sz w:val="16"/>
      <w:szCs w:val="16"/>
      <w:lang w:eastAsia="es-ES_tradnl"/>
    </w:rPr>
  </w:style>
  <w:style w:type="character" w:customStyle="1" w:styleId="z-FinaldelformularioCar">
    <w:name w:val="z-Final del formulario Car"/>
    <w:basedOn w:val="Fuentedeprrafopredeter"/>
    <w:link w:val="z-Finaldelformulario"/>
    <w:uiPriority w:val="99"/>
    <w:semiHidden/>
    <w:rsid w:val="00D651F9"/>
    <w:rPr>
      <w:rFonts w:ascii="Arial" w:eastAsia="Times New Roman" w:hAnsi="Arial" w:cs="Arial"/>
      <w:vanish/>
      <w:sz w:val="16"/>
      <w:szCs w:val="16"/>
      <w:lang w:eastAsia="es-ES_tradnl"/>
    </w:rPr>
  </w:style>
  <w:style w:type="table" w:styleId="Tablaconcuadrcula1clara">
    <w:name w:val="Grid Table 1 Light"/>
    <w:basedOn w:val="Tablanormal"/>
    <w:uiPriority w:val="46"/>
    <w:rsid w:val="00D651F9"/>
    <w:rPr>
      <w:rFonts w:eastAsiaTheme="minorEastAsia"/>
      <w:sz w:val="22"/>
      <w:szCs w:val="22"/>
      <w:lang w:eastAsia="es-EC"/>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Textodelmarcadordeposicin">
    <w:name w:val="Placeholder Text"/>
    <w:basedOn w:val="Fuentedeprrafopredeter"/>
    <w:uiPriority w:val="99"/>
    <w:semiHidden/>
    <w:rsid w:val="00D651F9"/>
    <w:rPr>
      <w:color w:val="808080"/>
    </w:rPr>
  </w:style>
  <w:style w:type="table" w:styleId="Tablanormal5">
    <w:name w:val="Plain Table 5"/>
    <w:basedOn w:val="Tablanormal"/>
    <w:uiPriority w:val="45"/>
    <w:rsid w:val="00D651F9"/>
    <w:rPr>
      <w:rFonts w:eastAsiaTheme="minorEastAsia"/>
      <w:sz w:val="22"/>
      <w:szCs w:val="22"/>
      <w:lang w:eastAsia="es-EC"/>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nt-sans">
    <w:name w:val="font-sans"/>
    <w:basedOn w:val="Normal"/>
    <w:rsid w:val="00D651F9"/>
    <w:pPr>
      <w:spacing w:before="100" w:beforeAutospacing="1" w:after="100" w:afterAutospacing="1"/>
    </w:pPr>
    <w:rPr>
      <w:lang w:eastAsia="es-ES_tradnl"/>
    </w:rPr>
  </w:style>
  <w:style w:type="character" w:customStyle="1" w:styleId="hgkelc">
    <w:name w:val="hgkelc"/>
    <w:basedOn w:val="Fuentedeprrafopredeter"/>
    <w:rsid w:val="00D651F9"/>
  </w:style>
  <w:style w:type="table" w:styleId="Tabladelista1clara-nfasis5">
    <w:name w:val="List Table 1 Light Accent 5"/>
    <w:basedOn w:val="Tablanormal"/>
    <w:uiPriority w:val="46"/>
    <w:rsid w:val="00D651F9"/>
    <w:rPr>
      <w:rFonts w:eastAsiaTheme="minorEastAsia"/>
      <w:sz w:val="22"/>
      <w:szCs w:val="22"/>
      <w:lang w:eastAsia="es-EC"/>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3-nfasis1">
    <w:name w:val="Grid Table 3 Accent 1"/>
    <w:basedOn w:val="Tablanormal"/>
    <w:uiPriority w:val="48"/>
    <w:rsid w:val="00D651F9"/>
    <w:rPr>
      <w:rFonts w:eastAsiaTheme="minorEastAsia"/>
      <w:sz w:val="22"/>
      <w:szCs w:val="22"/>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adecuadrcula2">
    <w:name w:val="Grid Table 2"/>
    <w:basedOn w:val="Tablanormal"/>
    <w:uiPriority w:val="47"/>
    <w:rsid w:val="00D651F9"/>
    <w:rPr>
      <w:rFonts w:eastAsiaTheme="minorEastAsia"/>
      <w:sz w:val="22"/>
      <w:szCs w:val="22"/>
      <w:lang w:eastAsia="es-EC"/>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tema">
    <w:name w:val="Table Theme"/>
    <w:basedOn w:val="Tablanormal"/>
    <w:uiPriority w:val="99"/>
    <w:rsid w:val="00D651F9"/>
    <w:rPr>
      <w:rFonts w:eastAsiaTheme="minorEastAsia"/>
      <w:sz w:val="22"/>
      <w:szCs w:val="22"/>
      <w:lang w:eastAsia="es-E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stiloAPA">
    <w:name w:val="Estilo APA"/>
    <w:basedOn w:val="Tablanormal"/>
    <w:uiPriority w:val="99"/>
    <w:rsid w:val="00A53357"/>
    <w:pPr>
      <w:spacing w:before="40"/>
      <w:jc w:val="both"/>
    </w:pPr>
    <w:rPr>
      <w:rFonts w:ascii="Times New Roman" w:hAnsi="Times New Roman"/>
      <w:sz w:val="20"/>
      <w:szCs w:val="22"/>
      <w:lang w:val="es-HN"/>
    </w:rPr>
    <w:tblPr>
      <w:tblBorders>
        <w:top w:val="single" w:sz="4" w:space="0" w:color="auto"/>
        <w:bottom w:val="single" w:sz="4" w:space="0" w:color="auto"/>
      </w:tblBorders>
    </w:tblPr>
  </w:style>
  <w:style w:type="character" w:customStyle="1" w:styleId="SinespaciadoCar">
    <w:name w:val="Sin espaciado Car"/>
    <w:basedOn w:val="Fuentedeprrafopredeter"/>
    <w:link w:val="Sinespaciado"/>
    <w:uiPriority w:val="1"/>
    <w:rsid w:val="007969A1"/>
    <w:rPr>
      <w:rFonts w:ascii="Times New Roman" w:eastAsia="SimSun" w:hAnsi="Times New Roman" w:cs="SimSun"/>
      <w:color w:val="000000" w:themeColor="text1"/>
      <w:szCs w:val="22"/>
      <w:lang w:val="es-ES" w:eastAsia="es-MX"/>
    </w:rPr>
  </w:style>
  <w:style w:type="character" w:customStyle="1" w:styleId="e-mail">
    <w:name w:val="e-mail"/>
    <w:basedOn w:val="Fuentedeprrafopredeter"/>
    <w:rsid w:val="003D3AC7"/>
    <w:rPr>
      <w:rFonts w:ascii="Courier" w:hAnsi="Courier"/>
      <w:noProof/>
    </w:rPr>
  </w:style>
  <w:style w:type="table" w:styleId="Tablaconcuadrcula4-nfasis1">
    <w:name w:val="Grid Table 4 Accent 1"/>
    <w:basedOn w:val="Tablanormal"/>
    <w:uiPriority w:val="49"/>
    <w:rsid w:val="00916166"/>
    <w:rPr>
      <w:rFonts w:ascii="Calibri" w:eastAsia="Droid Sans Fallback" w:hAnsi="Calibri" w:cs="Times New Roman"/>
      <w:sz w:val="20"/>
      <w:szCs w:val="20"/>
      <w:lang w:eastAsia="es-EC"/>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customStyle="1" w:styleId="referenceitem">
    <w:name w:val="referenceitem"/>
    <w:basedOn w:val="Normal"/>
    <w:rsid w:val="00916166"/>
    <w:pPr>
      <w:numPr>
        <w:numId w:val="4"/>
      </w:numPr>
      <w:overflowPunct w:val="0"/>
      <w:autoSpaceDE w:val="0"/>
      <w:autoSpaceDN w:val="0"/>
      <w:adjustRightInd w:val="0"/>
      <w:spacing w:line="220" w:lineRule="atLeast"/>
      <w:jc w:val="both"/>
      <w:textAlignment w:val="baseline"/>
    </w:pPr>
    <w:rPr>
      <w:sz w:val="18"/>
      <w:szCs w:val="20"/>
      <w:lang w:val="en-US" w:eastAsia="en-US"/>
    </w:rPr>
  </w:style>
  <w:style w:type="numbering" w:customStyle="1" w:styleId="referencelist">
    <w:name w:val="referencelist"/>
    <w:basedOn w:val="Sinlista"/>
    <w:semiHidden/>
    <w:rsid w:val="00916166"/>
    <w:pPr>
      <w:numPr>
        <w:numId w:val="4"/>
      </w:numPr>
    </w:pPr>
  </w:style>
  <w:style w:type="character" w:customStyle="1" w:styleId="ListLabel1">
    <w:name w:val="ListLabel 1"/>
    <w:rsid w:val="00916166"/>
    <w:rPr>
      <w:rFonts w:cs="Courier New"/>
    </w:rPr>
  </w:style>
  <w:style w:type="character" w:customStyle="1" w:styleId="ListLabel2">
    <w:name w:val="ListLabel 2"/>
    <w:rsid w:val="00916166"/>
    <w:rPr>
      <w:sz w:val="20"/>
    </w:rPr>
  </w:style>
  <w:style w:type="character" w:customStyle="1" w:styleId="Ancladenotaalpie">
    <w:name w:val="Ancla de nota al pie"/>
    <w:rsid w:val="00916166"/>
    <w:rPr>
      <w:vertAlign w:val="superscript"/>
    </w:rPr>
  </w:style>
  <w:style w:type="character" w:customStyle="1" w:styleId="Ancladenotafinal">
    <w:name w:val="Ancla de nota final"/>
    <w:rsid w:val="00916166"/>
    <w:rPr>
      <w:vertAlign w:val="superscript"/>
    </w:rPr>
  </w:style>
  <w:style w:type="character" w:customStyle="1" w:styleId="ListLabel3">
    <w:name w:val="ListLabel 3"/>
    <w:rsid w:val="00916166"/>
    <w:rPr>
      <w:rFonts w:cs="Symbol"/>
    </w:rPr>
  </w:style>
  <w:style w:type="character" w:customStyle="1" w:styleId="ListLabel4">
    <w:name w:val="ListLabel 4"/>
    <w:rsid w:val="00916166"/>
    <w:rPr>
      <w:rFonts w:cs="Courier New"/>
    </w:rPr>
  </w:style>
  <w:style w:type="character" w:customStyle="1" w:styleId="ListLabel5">
    <w:name w:val="ListLabel 5"/>
    <w:rsid w:val="00916166"/>
    <w:rPr>
      <w:rFonts w:cs="Wingdings"/>
    </w:rPr>
  </w:style>
  <w:style w:type="character" w:customStyle="1" w:styleId="ListLabel6">
    <w:name w:val="ListLabel 6"/>
    <w:rsid w:val="00916166"/>
    <w:rPr>
      <w:rFonts w:cs="Symbol"/>
      <w:sz w:val="20"/>
    </w:rPr>
  </w:style>
  <w:style w:type="character" w:customStyle="1" w:styleId="ListLabel7">
    <w:name w:val="ListLabel 7"/>
    <w:rsid w:val="00916166"/>
    <w:rPr>
      <w:rFonts w:cs="Courier New"/>
      <w:sz w:val="20"/>
    </w:rPr>
  </w:style>
  <w:style w:type="character" w:customStyle="1" w:styleId="ListLabel8">
    <w:name w:val="ListLabel 8"/>
    <w:rsid w:val="00916166"/>
    <w:rPr>
      <w:rFonts w:cs="Wingdings"/>
      <w:sz w:val="20"/>
    </w:rPr>
  </w:style>
  <w:style w:type="character" w:customStyle="1" w:styleId="ListLabel9">
    <w:name w:val="ListLabel 9"/>
    <w:rsid w:val="00916166"/>
    <w:rPr>
      <w:rFonts w:cs="Symbol"/>
    </w:rPr>
  </w:style>
  <w:style w:type="character" w:customStyle="1" w:styleId="ListLabel10">
    <w:name w:val="ListLabel 10"/>
    <w:rsid w:val="00916166"/>
    <w:rPr>
      <w:rFonts w:cs="Courier New"/>
    </w:rPr>
  </w:style>
  <w:style w:type="character" w:customStyle="1" w:styleId="ListLabel11">
    <w:name w:val="ListLabel 11"/>
    <w:rsid w:val="00916166"/>
    <w:rPr>
      <w:rFonts w:cs="Wingdings"/>
    </w:rPr>
  </w:style>
  <w:style w:type="character" w:customStyle="1" w:styleId="ListLabel12">
    <w:name w:val="ListLabel 12"/>
    <w:rsid w:val="00916166"/>
    <w:rPr>
      <w:rFonts w:cs="Symbol"/>
      <w:sz w:val="20"/>
    </w:rPr>
  </w:style>
  <w:style w:type="character" w:customStyle="1" w:styleId="ListLabel13">
    <w:name w:val="ListLabel 13"/>
    <w:rsid w:val="00916166"/>
    <w:rPr>
      <w:rFonts w:cs="Courier New"/>
      <w:sz w:val="20"/>
    </w:rPr>
  </w:style>
  <w:style w:type="character" w:customStyle="1" w:styleId="ListLabel14">
    <w:name w:val="ListLabel 14"/>
    <w:rsid w:val="00916166"/>
    <w:rPr>
      <w:rFonts w:cs="Wingdings"/>
      <w:sz w:val="20"/>
    </w:rPr>
  </w:style>
  <w:style w:type="character" w:customStyle="1" w:styleId="ListLabel15">
    <w:name w:val="ListLabel 15"/>
    <w:rsid w:val="00916166"/>
    <w:rPr>
      <w:rFonts w:cs="Symbol"/>
    </w:rPr>
  </w:style>
  <w:style w:type="character" w:customStyle="1" w:styleId="ListLabel16">
    <w:name w:val="ListLabel 16"/>
    <w:rsid w:val="00916166"/>
    <w:rPr>
      <w:rFonts w:cs="Courier New"/>
    </w:rPr>
  </w:style>
  <w:style w:type="character" w:customStyle="1" w:styleId="ListLabel17">
    <w:name w:val="ListLabel 17"/>
    <w:rsid w:val="00916166"/>
    <w:rPr>
      <w:rFonts w:cs="Wingdings"/>
    </w:rPr>
  </w:style>
  <w:style w:type="character" w:customStyle="1" w:styleId="ListLabel18">
    <w:name w:val="ListLabel 18"/>
    <w:rsid w:val="00916166"/>
    <w:rPr>
      <w:rFonts w:cs="Symbol"/>
      <w:sz w:val="20"/>
    </w:rPr>
  </w:style>
  <w:style w:type="character" w:customStyle="1" w:styleId="ListLabel19">
    <w:name w:val="ListLabel 19"/>
    <w:rsid w:val="00916166"/>
    <w:rPr>
      <w:rFonts w:cs="Courier New"/>
      <w:sz w:val="20"/>
    </w:rPr>
  </w:style>
  <w:style w:type="character" w:customStyle="1" w:styleId="ListLabel20">
    <w:name w:val="ListLabel 20"/>
    <w:rsid w:val="00916166"/>
    <w:rPr>
      <w:rFonts w:cs="Wingdings"/>
      <w:sz w:val="20"/>
    </w:rPr>
  </w:style>
  <w:style w:type="character" w:customStyle="1" w:styleId="ListLabel21">
    <w:name w:val="ListLabel 21"/>
    <w:rsid w:val="00916166"/>
    <w:rPr>
      <w:rFonts w:cs="Symbol"/>
    </w:rPr>
  </w:style>
  <w:style w:type="character" w:customStyle="1" w:styleId="ListLabel22">
    <w:name w:val="ListLabel 22"/>
    <w:rsid w:val="00916166"/>
    <w:rPr>
      <w:rFonts w:cs="Courier New"/>
    </w:rPr>
  </w:style>
  <w:style w:type="character" w:customStyle="1" w:styleId="ListLabel23">
    <w:name w:val="ListLabel 23"/>
    <w:rsid w:val="00916166"/>
    <w:rPr>
      <w:rFonts w:cs="Wingdings"/>
    </w:rPr>
  </w:style>
  <w:style w:type="character" w:customStyle="1" w:styleId="ListLabel24">
    <w:name w:val="ListLabel 24"/>
    <w:rsid w:val="00916166"/>
    <w:rPr>
      <w:rFonts w:cs="Symbol"/>
      <w:sz w:val="20"/>
    </w:rPr>
  </w:style>
  <w:style w:type="character" w:customStyle="1" w:styleId="ListLabel25">
    <w:name w:val="ListLabel 25"/>
    <w:rsid w:val="00916166"/>
    <w:rPr>
      <w:rFonts w:cs="Courier New"/>
      <w:sz w:val="20"/>
    </w:rPr>
  </w:style>
  <w:style w:type="character" w:customStyle="1" w:styleId="ListLabel26">
    <w:name w:val="ListLabel 26"/>
    <w:rsid w:val="00916166"/>
    <w:rPr>
      <w:rFonts w:cs="Wingdings"/>
      <w:sz w:val="20"/>
    </w:rPr>
  </w:style>
  <w:style w:type="character" w:customStyle="1" w:styleId="ListLabel27">
    <w:name w:val="ListLabel 27"/>
    <w:rsid w:val="00916166"/>
    <w:rPr>
      <w:rFonts w:cs="Symbol"/>
    </w:rPr>
  </w:style>
  <w:style w:type="character" w:customStyle="1" w:styleId="ListLabel28">
    <w:name w:val="ListLabel 28"/>
    <w:rsid w:val="00916166"/>
    <w:rPr>
      <w:rFonts w:cs="Courier New"/>
    </w:rPr>
  </w:style>
  <w:style w:type="character" w:customStyle="1" w:styleId="ListLabel29">
    <w:name w:val="ListLabel 29"/>
    <w:rsid w:val="00916166"/>
    <w:rPr>
      <w:rFonts w:cs="Wingdings"/>
    </w:rPr>
  </w:style>
  <w:style w:type="character" w:customStyle="1" w:styleId="ListLabel30">
    <w:name w:val="ListLabel 30"/>
    <w:rsid w:val="00916166"/>
    <w:rPr>
      <w:rFonts w:cs="Symbol"/>
      <w:sz w:val="20"/>
    </w:rPr>
  </w:style>
  <w:style w:type="character" w:customStyle="1" w:styleId="ListLabel31">
    <w:name w:val="ListLabel 31"/>
    <w:rsid w:val="00916166"/>
    <w:rPr>
      <w:rFonts w:cs="Courier New"/>
      <w:sz w:val="20"/>
    </w:rPr>
  </w:style>
  <w:style w:type="character" w:customStyle="1" w:styleId="ListLabel32">
    <w:name w:val="ListLabel 32"/>
    <w:rsid w:val="00916166"/>
    <w:rPr>
      <w:rFonts w:cs="Wingdings"/>
      <w:sz w:val="20"/>
    </w:rPr>
  </w:style>
  <w:style w:type="character" w:customStyle="1" w:styleId="WW8Num4z0">
    <w:name w:val="WW8Num4z0"/>
    <w:rsid w:val="00916166"/>
    <w:rPr>
      <w:rFonts w:cs="Times New Roman"/>
    </w:rPr>
  </w:style>
  <w:style w:type="character" w:customStyle="1" w:styleId="CommentReference1">
    <w:name w:val="Comment Reference1"/>
    <w:rsid w:val="00916166"/>
    <w:rPr>
      <w:rFonts w:cs="Times New Roman"/>
      <w:sz w:val="16"/>
      <w:szCs w:val="16"/>
    </w:rPr>
  </w:style>
  <w:style w:type="character" w:customStyle="1" w:styleId="EnlacedeInternet">
    <w:name w:val="Enlace de Internet"/>
    <w:rsid w:val="00916166"/>
    <w:rPr>
      <w:rFonts w:cs="Times New Roman"/>
      <w:color w:val="0000FF"/>
      <w:u w:val="single"/>
    </w:rPr>
  </w:style>
  <w:style w:type="character" w:customStyle="1" w:styleId="EncabezadoCar1">
    <w:name w:val="Encabezado Car1"/>
    <w:basedOn w:val="Fuentedeprrafopredeter"/>
    <w:uiPriority w:val="99"/>
    <w:semiHidden/>
    <w:rsid w:val="00916166"/>
    <w:rPr>
      <w:rFonts w:ascii="Arial" w:eastAsia="Times New Roman" w:hAnsi="Arial" w:cs="Arial"/>
      <w:color w:val="00000A"/>
      <w:sz w:val="24"/>
      <w:lang w:eastAsia="es-ES"/>
    </w:rPr>
  </w:style>
  <w:style w:type="paragraph" w:customStyle="1" w:styleId="Cuerpodetexto">
    <w:name w:val="Cuerpo de texto"/>
    <w:basedOn w:val="Normal"/>
    <w:rsid w:val="00916166"/>
    <w:pPr>
      <w:suppressAutoHyphens/>
      <w:spacing w:after="140" w:line="288" w:lineRule="auto"/>
      <w:jc w:val="both"/>
    </w:pPr>
    <w:rPr>
      <w:rFonts w:ascii="Arial" w:hAnsi="Arial" w:cs="Arial"/>
      <w:color w:val="00000A"/>
      <w:szCs w:val="20"/>
      <w:lang w:eastAsia="es-ES"/>
    </w:rPr>
  </w:style>
  <w:style w:type="paragraph" w:styleId="Lista">
    <w:name w:val="List"/>
    <w:basedOn w:val="Cuerpodetexto"/>
    <w:rsid w:val="00916166"/>
    <w:rPr>
      <w:rFonts w:cs="FreeSans"/>
    </w:rPr>
  </w:style>
  <w:style w:type="paragraph" w:customStyle="1" w:styleId="Pie">
    <w:name w:val="Pie"/>
    <w:basedOn w:val="Normal"/>
    <w:rsid w:val="00916166"/>
    <w:pPr>
      <w:suppressLineNumbers/>
      <w:suppressAutoHyphens/>
      <w:spacing w:before="120" w:after="120" w:line="360" w:lineRule="auto"/>
      <w:jc w:val="both"/>
    </w:pPr>
    <w:rPr>
      <w:rFonts w:ascii="Arial" w:hAnsi="Arial" w:cs="FreeSans"/>
      <w:i/>
      <w:iCs/>
      <w:color w:val="00000A"/>
      <w:lang w:eastAsia="es-ES"/>
    </w:rPr>
  </w:style>
  <w:style w:type="paragraph" w:customStyle="1" w:styleId="ndice">
    <w:name w:val="Índice"/>
    <w:basedOn w:val="Normal"/>
    <w:rsid w:val="00916166"/>
    <w:pPr>
      <w:suppressLineNumbers/>
      <w:suppressAutoHyphens/>
      <w:spacing w:line="360" w:lineRule="auto"/>
      <w:jc w:val="both"/>
    </w:pPr>
    <w:rPr>
      <w:rFonts w:ascii="Arial" w:hAnsi="Arial" w:cs="FreeSans"/>
      <w:color w:val="00000A"/>
      <w:szCs w:val="20"/>
      <w:lang w:eastAsia="es-ES"/>
    </w:rPr>
  </w:style>
  <w:style w:type="character" w:customStyle="1" w:styleId="TextonotapieCar1">
    <w:name w:val="Texto nota pie Car1"/>
    <w:basedOn w:val="Fuentedeprrafopredeter"/>
    <w:uiPriority w:val="99"/>
    <w:semiHidden/>
    <w:rsid w:val="00916166"/>
    <w:rPr>
      <w:sz w:val="20"/>
      <w:szCs w:val="20"/>
    </w:rPr>
  </w:style>
  <w:style w:type="paragraph" w:customStyle="1" w:styleId="Encabezamiento">
    <w:name w:val="Encabezamiento"/>
    <w:basedOn w:val="Normal"/>
    <w:unhideWhenUsed/>
    <w:rsid w:val="00916166"/>
    <w:pPr>
      <w:tabs>
        <w:tab w:val="center" w:pos="4419"/>
        <w:tab w:val="right" w:pos="8838"/>
      </w:tabs>
      <w:suppressAutoHyphens/>
      <w:spacing w:line="360" w:lineRule="auto"/>
      <w:jc w:val="both"/>
    </w:pPr>
    <w:rPr>
      <w:rFonts w:ascii="Calibri" w:hAnsi="Calibri" w:cs="Arial"/>
      <w:color w:val="00000A"/>
      <w:szCs w:val="22"/>
      <w:lang w:eastAsia="en-US"/>
    </w:rPr>
  </w:style>
  <w:style w:type="character" w:customStyle="1" w:styleId="PiedepginaCar1">
    <w:name w:val="Pie de página Car1"/>
    <w:basedOn w:val="Fuentedeprrafopredeter"/>
    <w:uiPriority w:val="99"/>
    <w:semiHidden/>
    <w:rsid w:val="00916166"/>
    <w:rPr>
      <w:rFonts w:ascii="Arial" w:eastAsia="Times New Roman" w:hAnsi="Arial" w:cs="Arial"/>
      <w:color w:val="00000A"/>
      <w:sz w:val="24"/>
      <w:lang w:eastAsia="es-ES"/>
    </w:rPr>
  </w:style>
  <w:style w:type="paragraph" w:customStyle="1" w:styleId="Contenidodelmarco">
    <w:name w:val="Contenido del marco"/>
    <w:basedOn w:val="Normal"/>
    <w:rsid w:val="00916166"/>
    <w:pPr>
      <w:suppressAutoHyphens/>
      <w:spacing w:line="360" w:lineRule="auto"/>
      <w:jc w:val="both"/>
    </w:pPr>
    <w:rPr>
      <w:rFonts w:ascii="Arial" w:hAnsi="Arial" w:cs="Arial"/>
      <w:color w:val="00000A"/>
      <w:szCs w:val="20"/>
      <w:lang w:eastAsia="es-ES"/>
    </w:rPr>
  </w:style>
  <w:style w:type="paragraph" w:customStyle="1" w:styleId="Notaalpie">
    <w:name w:val="Nota al pie"/>
    <w:basedOn w:val="Normal"/>
    <w:rsid w:val="00916166"/>
    <w:pPr>
      <w:suppressAutoHyphens/>
      <w:spacing w:line="360" w:lineRule="auto"/>
      <w:jc w:val="both"/>
    </w:pPr>
    <w:rPr>
      <w:rFonts w:ascii="Arial" w:hAnsi="Arial" w:cs="Arial"/>
      <w:color w:val="00000A"/>
      <w:szCs w:val="20"/>
      <w:lang w:eastAsia="es-ES"/>
    </w:rPr>
  </w:style>
  <w:style w:type="paragraph" w:styleId="Sangra2detindependiente">
    <w:name w:val="Body Text Indent 2"/>
    <w:basedOn w:val="Normal"/>
    <w:link w:val="Sangra2detindependienteCar"/>
    <w:rsid w:val="00916166"/>
    <w:pPr>
      <w:suppressAutoHyphens/>
      <w:spacing w:line="360" w:lineRule="auto"/>
      <w:ind w:firstLine="180"/>
      <w:jc w:val="both"/>
    </w:pPr>
    <w:rPr>
      <w:rFonts w:ascii="Arial" w:hAnsi="Arial" w:cs="Arial"/>
      <w:color w:val="00000A"/>
      <w:szCs w:val="20"/>
      <w:lang w:eastAsia="es-ES"/>
    </w:rPr>
  </w:style>
  <w:style w:type="character" w:customStyle="1" w:styleId="Sangra2detindependienteCar">
    <w:name w:val="Sangría 2 de t. independiente Car"/>
    <w:basedOn w:val="Fuentedeprrafopredeter"/>
    <w:link w:val="Sangra2detindependiente"/>
    <w:rsid w:val="00916166"/>
    <w:rPr>
      <w:rFonts w:ascii="Arial" w:eastAsia="Times New Roman" w:hAnsi="Arial" w:cs="Arial"/>
      <w:color w:val="00000A"/>
      <w:szCs w:val="20"/>
      <w:lang w:eastAsia="es-ES"/>
    </w:rPr>
  </w:style>
  <w:style w:type="paragraph" w:customStyle="1" w:styleId="CapstoneBodyText">
    <w:name w:val="CapstoneBodyText"/>
    <w:basedOn w:val="Normal"/>
    <w:rsid w:val="00916166"/>
    <w:pPr>
      <w:suppressAutoHyphens/>
      <w:spacing w:line="360" w:lineRule="auto"/>
      <w:jc w:val="both"/>
    </w:pPr>
    <w:rPr>
      <w:rFonts w:ascii="Arial" w:hAnsi="Arial" w:cs="Arial"/>
      <w:color w:val="00000A"/>
      <w:szCs w:val="20"/>
      <w:lang w:eastAsia="es-ES"/>
    </w:rPr>
  </w:style>
  <w:style w:type="paragraph" w:customStyle="1" w:styleId="Contenidodelatabla">
    <w:name w:val="Contenido de la tabla"/>
    <w:basedOn w:val="Normal"/>
    <w:rsid w:val="00916166"/>
    <w:pPr>
      <w:suppressAutoHyphens/>
      <w:spacing w:line="360" w:lineRule="auto"/>
      <w:jc w:val="both"/>
    </w:pPr>
    <w:rPr>
      <w:rFonts w:ascii="Arial" w:hAnsi="Arial" w:cs="Arial"/>
      <w:color w:val="00000A"/>
      <w:szCs w:val="20"/>
      <w:lang w:eastAsia="es-ES"/>
    </w:rPr>
  </w:style>
  <w:style w:type="paragraph" w:customStyle="1" w:styleId="CapstoneHeading1">
    <w:name w:val="CapstoneHeading1"/>
    <w:basedOn w:val="Normal"/>
    <w:rsid w:val="00916166"/>
    <w:pPr>
      <w:suppressAutoHyphens/>
      <w:spacing w:line="360" w:lineRule="auto"/>
      <w:jc w:val="both"/>
    </w:pPr>
    <w:rPr>
      <w:rFonts w:ascii="Arial" w:hAnsi="Arial" w:cs="Arial"/>
      <w:b/>
      <w:color w:val="00000A"/>
      <w:sz w:val="28"/>
      <w:szCs w:val="28"/>
      <w:lang w:eastAsia="es-ES"/>
    </w:rPr>
  </w:style>
  <w:style w:type="paragraph" w:customStyle="1" w:styleId="CapstoneHeading2">
    <w:name w:val="CapstoneHeading2"/>
    <w:basedOn w:val="Normal"/>
    <w:rsid w:val="00916166"/>
    <w:pPr>
      <w:suppressAutoHyphens/>
      <w:spacing w:line="360" w:lineRule="auto"/>
      <w:jc w:val="both"/>
    </w:pPr>
    <w:rPr>
      <w:rFonts w:ascii="Arial" w:hAnsi="Arial" w:cs="Arial"/>
      <w:i/>
      <w:color w:val="00000A"/>
      <w:lang w:eastAsia="es-ES"/>
    </w:rPr>
  </w:style>
  <w:style w:type="numbering" w:customStyle="1" w:styleId="WW8Num4">
    <w:name w:val="WW8Num4"/>
    <w:rsid w:val="00916166"/>
  </w:style>
  <w:style w:type="paragraph" w:customStyle="1" w:styleId="Nivel1">
    <w:name w:val="Nivel 1"/>
    <w:basedOn w:val="Normal"/>
    <w:link w:val="Nivel1Char"/>
    <w:rsid w:val="00916166"/>
    <w:pPr>
      <w:suppressAutoHyphens/>
      <w:spacing w:before="240" w:after="240"/>
      <w:jc w:val="both"/>
    </w:pPr>
    <w:rPr>
      <w:rFonts w:ascii="Arial" w:hAnsi="Arial" w:cs="Arial"/>
      <w:b/>
      <w:caps/>
      <w:color w:val="00000A"/>
      <w:u w:val="single"/>
      <w:lang w:eastAsia="es-ES"/>
    </w:rPr>
  </w:style>
  <w:style w:type="paragraph" w:customStyle="1" w:styleId="Nivel2">
    <w:name w:val="Nivel 2"/>
    <w:basedOn w:val="Normal"/>
    <w:link w:val="Nivel2Char"/>
    <w:rsid w:val="00916166"/>
    <w:pPr>
      <w:tabs>
        <w:tab w:val="right" w:pos="8222"/>
      </w:tabs>
      <w:suppressAutoHyphens/>
      <w:spacing w:line="276" w:lineRule="auto"/>
      <w:ind w:left="708"/>
      <w:jc w:val="both"/>
    </w:pPr>
    <w:rPr>
      <w:rFonts w:ascii="Arial" w:hAnsi="Arial" w:cs="Arial"/>
      <w:color w:val="00000A"/>
      <w:lang w:eastAsia="es-ES"/>
    </w:rPr>
  </w:style>
  <w:style w:type="character" w:customStyle="1" w:styleId="Nivel1Char">
    <w:name w:val="Nivel 1 Char"/>
    <w:link w:val="Nivel1"/>
    <w:rsid w:val="00916166"/>
    <w:rPr>
      <w:rFonts w:ascii="Arial" w:eastAsia="Times New Roman" w:hAnsi="Arial" w:cs="Arial"/>
      <w:b/>
      <w:caps/>
      <w:color w:val="00000A"/>
      <w:u w:val="single"/>
      <w:lang w:eastAsia="es-ES"/>
    </w:rPr>
  </w:style>
  <w:style w:type="character" w:customStyle="1" w:styleId="Nivel2Char">
    <w:name w:val="Nivel 2 Char"/>
    <w:link w:val="Nivel2"/>
    <w:rsid w:val="00916166"/>
    <w:rPr>
      <w:rFonts w:ascii="Arial" w:eastAsia="Times New Roman" w:hAnsi="Arial" w:cs="Arial"/>
      <w:color w:val="00000A"/>
      <w:lang w:eastAsia="es-ES"/>
    </w:rPr>
  </w:style>
  <w:style w:type="paragraph" w:styleId="TtuloTDC">
    <w:name w:val="TOC Heading"/>
    <w:basedOn w:val="Ttulo1"/>
    <w:next w:val="Normal"/>
    <w:uiPriority w:val="39"/>
    <w:unhideWhenUsed/>
    <w:qFormat/>
    <w:rsid w:val="00916166"/>
    <w:pPr>
      <w:spacing w:line="259" w:lineRule="auto"/>
      <w:outlineLvl w:val="9"/>
    </w:pPr>
    <w:rPr>
      <w:rFonts w:ascii="Calibri Light" w:eastAsia="Times New Roman" w:hAnsi="Calibri Light" w:cs="Times New Roman"/>
      <w:color w:val="2E74B5"/>
      <w:lang w:val="en-US" w:eastAsia="en-US"/>
    </w:rPr>
  </w:style>
  <w:style w:type="paragraph" w:styleId="Tabladeilustraciones">
    <w:name w:val="table of figures"/>
    <w:basedOn w:val="Normal"/>
    <w:next w:val="Normal"/>
    <w:uiPriority w:val="99"/>
    <w:unhideWhenUsed/>
    <w:rsid w:val="00916166"/>
    <w:pPr>
      <w:suppressAutoHyphens/>
      <w:spacing w:line="360" w:lineRule="auto"/>
      <w:jc w:val="both"/>
    </w:pPr>
    <w:rPr>
      <w:rFonts w:ascii="Arial" w:hAnsi="Arial" w:cs="Arial"/>
      <w:color w:val="00000A"/>
      <w:szCs w:val="20"/>
      <w:lang w:eastAsia="es-ES"/>
    </w:rPr>
  </w:style>
  <w:style w:type="paragraph" w:customStyle="1" w:styleId="Titulo">
    <w:name w:val="Titulo"/>
    <w:basedOn w:val="Normal"/>
    <w:link w:val="TituloCar"/>
    <w:uiPriority w:val="99"/>
    <w:rsid w:val="00916166"/>
    <w:pPr>
      <w:spacing w:after="200" w:line="360" w:lineRule="auto"/>
      <w:jc w:val="center"/>
      <w:outlineLvl w:val="0"/>
    </w:pPr>
    <w:rPr>
      <w:rFonts w:ascii="Arial" w:eastAsia="Calibri" w:hAnsi="Arial" w:cs="Arial"/>
      <w:b/>
      <w:sz w:val="32"/>
      <w:szCs w:val="48"/>
      <w:lang w:eastAsia="en-US"/>
    </w:rPr>
  </w:style>
  <w:style w:type="character" w:customStyle="1" w:styleId="TituloCar">
    <w:name w:val="Titulo Car"/>
    <w:link w:val="Titulo"/>
    <w:uiPriority w:val="99"/>
    <w:locked/>
    <w:rsid w:val="00916166"/>
    <w:rPr>
      <w:rFonts w:ascii="Arial" w:eastAsia="Calibri" w:hAnsi="Arial" w:cs="Arial"/>
      <w:b/>
      <w:sz w:val="32"/>
      <w:szCs w:val="48"/>
    </w:rPr>
  </w:style>
  <w:style w:type="paragraph" w:styleId="Revisin">
    <w:name w:val="Revision"/>
    <w:hidden/>
    <w:uiPriority w:val="99"/>
    <w:semiHidden/>
    <w:rsid w:val="00916166"/>
    <w:rPr>
      <w:rFonts w:ascii="Arial" w:eastAsia="Times New Roman" w:hAnsi="Arial" w:cs="Arial"/>
      <w:color w:val="00000A"/>
      <w:szCs w:val="20"/>
      <w:lang w:eastAsia="es-ES"/>
    </w:rPr>
  </w:style>
  <w:style w:type="paragraph" w:customStyle="1" w:styleId="TtulosEcuaciones">
    <w:name w:val="Títulos Ecuaciones"/>
    <w:basedOn w:val="Normal"/>
    <w:link w:val="TtulosEcuacionesCar"/>
    <w:qFormat/>
    <w:rsid w:val="00916166"/>
    <w:pPr>
      <w:suppressAutoHyphens/>
      <w:spacing w:line="360" w:lineRule="auto"/>
      <w:jc w:val="right"/>
    </w:pPr>
    <w:rPr>
      <w:rFonts w:ascii="Arial" w:hAnsi="Arial" w:cs="Arial"/>
      <w:b/>
      <w:color w:val="00000A"/>
      <w:szCs w:val="20"/>
      <w:lang w:eastAsia="es-ES"/>
    </w:rPr>
  </w:style>
  <w:style w:type="character" w:customStyle="1" w:styleId="TtulosEcuacionesCar">
    <w:name w:val="Títulos Ecuaciones Car"/>
    <w:basedOn w:val="Fuentedeprrafopredeter"/>
    <w:link w:val="TtulosEcuaciones"/>
    <w:rsid w:val="00916166"/>
    <w:rPr>
      <w:rFonts w:ascii="Arial" w:eastAsia="Times New Roman" w:hAnsi="Arial" w:cs="Arial"/>
      <w:b/>
      <w:color w:val="00000A"/>
      <w:szCs w:val="20"/>
      <w:lang w:eastAsia="es-ES"/>
    </w:rPr>
  </w:style>
  <w:style w:type="table" w:styleId="Tablanormal4">
    <w:name w:val="Plain Table 4"/>
    <w:basedOn w:val="Tablanormal"/>
    <w:uiPriority w:val="44"/>
    <w:rsid w:val="00916166"/>
    <w:rPr>
      <w:rFonts w:ascii="Calibri" w:eastAsia="Droid Sans Fallback" w:hAnsi="Calibri" w:cs="Times New Roman"/>
      <w:sz w:val="20"/>
      <w:szCs w:val="20"/>
      <w:lang w:eastAsia="es-EC"/>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clara">
    <w:name w:val="Grid Table Light"/>
    <w:basedOn w:val="Tablanormal"/>
    <w:uiPriority w:val="40"/>
    <w:rsid w:val="00916166"/>
    <w:rPr>
      <w:rFonts w:ascii="Calibri" w:eastAsia="Droid Sans Fallback" w:hAnsi="Calibri" w:cs="Times New Roman"/>
      <w:sz w:val="20"/>
      <w:szCs w:val="20"/>
      <w:lang w:eastAsia="es-EC"/>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whitespace-nowrap">
    <w:name w:val="whitespace-nowrap"/>
    <w:basedOn w:val="Fuentedeprrafopredeter"/>
    <w:rsid w:val="00916166"/>
  </w:style>
  <w:style w:type="character" w:customStyle="1" w:styleId="whitespace-normal">
    <w:name w:val="whitespace-normal"/>
    <w:basedOn w:val="Fuentedeprrafopredeter"/>
    <w:rsid w:val="00916166"/>
  </w:style>
  <w:style w:type="character" w:customStyle="1" w:styleId="truncate">
    <w:name w:val="truncate"/>
    <w:basedOn w:val="Fuentedeprrafopredeter"/>
    <w:rsid w:val="00916166"/>
  </w:style>
  <w:style w:type="paragraph" w:styleId="TDC9">
    <w:name w:val="toc 9"/>
    <w:basedOn w:val="Normal"/>
    <w:next w:val="Normal"/>
    <w:autoRedefine/>
    <w:uiPriority w:val="39"/>
    <w:unhideWhenUsed/>
    <w:rsid w:val="00916166"/>
    <w:pPr>
      <w:spacing w:after="100" w:line="278" w:lineRule="auto"/>
      <w:ind w:left="1920"/>
    </w:pPr>
    <w:rPr>
      <w:rFonts w:asciiTheme="minorHAnsi" w:eastAsiaTheme="minorEastAsia" w:hAnsiTheme="minorHAnsi" w:cstheme="minorBidi"/>
      <w:kern w:val="2"/>
      <w:lang w:eastAsia="es-EC"/>
      <w14:ligatures w14:val="standardContextual"/>
    </w:rPr>
  </w:style>
  <w:style w:type="paragraph" w:customStyle="1" w:styleId="msonormal0">
    <w:name w:val="msonormal"/>
    <w:basedOn w:val="Normal"/>
    <w:rsid w:val="00916166"/>
    <w:pPr>
      <w:spacing w:before="100" w:beforeAutospacing="1" w:after="100" w:afterAutospacing="1"/>
    </w:pPr>
    <w:rPr>
      <w:lang w:eastAsia="es-EC"/>
    </w:rPr>
  </w:style>
  <w:style w:type="paragraph" w:customStyle="1" w:styleId="xl63">
    <w:name w:val="xl63"/>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4">
    <w:name w:val="xl64"/>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5">
    <w:name w:val="xl65"/>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6">
    <w:name w:val="xl66"/>
    <w:basedOn w:val="Normal"/>
    <w:rsid w:val="00916166"/>
    <w:pPr>
      <w:pBdr>
        <w:top w:val="single" w:sz="4" w:space="0" w:color="000000"/>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7">
    <w:name w:val="xl67"/>
    <w:basedOn w:val="Normal"/>
    <w:rsid w:val="00916166"/>
    <w:pPr>
      <w:pBdr>
        <w:top w:val="single" w:sz="4" w:space="0" w:color="000000"/>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8">
    <w:name w:val="xl68"/>
    <w:basedOn w:val="Normal"/>
    <w:rsid w:val="00916166"/>
    <w:pPr>
      <w:pBdr>
        <w:top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69">
    <w:name w:val="xl69"/>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0">
    <w:name w:val="xl70"/>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1">
    <w:name w:val="xl71"/>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2">
    <w:name w:val="xl72"/>
    <w:basedOn w:val="Normal"/>
    <w:rsid w:val="00916166"/>
    <w:pPr>
      <w:pBdr>
        <w:left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3">
    <w:name w:val="xl73"/>
    <w:basedOn w:val="Normal"/>
    <w:rsid w:val="00916166"/>
    <w:pPr>
      <w:pBdr>
        <w:lef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4">
    <w:name w:val="xl74"/>
    <w:basedOn w:val="Normal"/>
    <w:rsid w:val="00916166"/>
    <w:pPr>
      <w:pBdr>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5">
    <w:name w:val="xl75"/>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6">
    <w:name w:val="xl76"/>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7">
    <w:name w:val="xl77"/>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8">
    <w:name w:val="xl78"/>
    <w:basedOn w:val="Normal"/>
    <w:rsid w:val="00916166"/>
    <w:pPr>
      <w:pBdr>
        <w:left w:val="single" w:sz="4" w:space="0" w:color="000000"/>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79">
    <w:name w:val="xl79"/>
    <w:basedOn w:val="Normal"/>
    <w:rsid w:val="00916166"/>
    <w:pPr>
      <w:pBdr>
        <w:left w:val="single" w:sz="4" w:space="0" w:color="000000"/>
        <w:bottom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0">
    <w:name w:val="xl80"/>
    <w:basedOn w:val="Normal"/>
    <w:rsid w:val="00916166"/>
    <w:pPr>
      <w:pBdr>
        <w:bottom w:val="single" w:sz="4" w:space="0" w:color="000000"/>
        <w:right w:val="single" w:sz="4" w:space="0" w:color="000000"/>
      </w:pBdr>
      <w:spacing w:before="100" w:beforeAutospacing="1" w:after="100" w:afterAutospacing="1"/>
      <w:jc w:val="center"/>
    </w:pPr>
    <w:rPr>
      <w:rFonts w:ascii="Calibri" w:hAnsi="Calibri" w:cs="Calibri"/>
      <w:sz w:val="22"/>
      <w:szCs w:val="22"/>
      <w:lang w:eastAsia="es-EC"/>
    </w:rPr>
  </w:style>
  <w:style w:type="paragraph" w:customStyle="1" w:styleId="xl81">
    <w:name w:val="xl81"/>
    <w:basedOn w:val="Normal"/>
    <w:rsid w:val="00916166"/>
    <w:pPr>
      <w:pBdr>
        <w:top w:val="single" w:sz="4" w:space="0" w:color="000000"/>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2">
    <w:name w:val="xl82"/>
    <w:basedOn w:val="Normal"/>
    <w:rsid w:val="00916166"/>
    <w:pPr>
      <w:pBdr>
        <w:left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3">
    <w:name w:val="xl83"/>
    <w:basedOn w:val="Normal"/>
    <w:rsid w:val="00916166"/>
    <w:pPr>
      <w:pBdr>
        <w:left w:val="single" w:sz="4" w:space="0" w:color="000000"/>
        <w:bottom w:val="single" w:sz="4" w:space="0" w:color="000000"/>
        <w:right w:val="single" w:sz="4" w:space="0" w:color="000000"/>
      </w:pBdr>
      <w:shd w:val="clear" w:color="C2D1EC" w:fill="C1E4F5"/>
      <w:spacing w:before="100" w:beforeAutospacing="1" w:after="100" w:afterAutospacing="1"/>
      <w:jc w:val="center"/>
    </w:pPr>
    <w:rPr>
      <w:rFonts w:ascii="Calibri" w:hAnsi="Calibri" w:cs="Calibri"/>
      <w:sz w:val="22"/>
      <w:szCs w:val="22"/>
      <w:lang w:eastAsia="es-EC"/>
    </w:rPr>
  </w:style>
  <w:style w:type="paragraph" w:customStyle="1" w:styleId="xl84">
    <w:name w:val="xl84"/>
    <w:basedOn w:val="Normal"/>
    <w:rsid w:val="00916166"/>
    <w:pPr>
      <w:pBdr>
        <w:top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5">
    <w:name w:val="xl85"/>
    <w:basedOn w:val="Normal"/>
    <w:rsid w:val="00916166"/>
    <w:pPr>
      <w:pBdr>
        <w:top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6">
    <w:name w:val="xl86"/>
    <w:basedOn w:val="Normal"/>
    <w:rsid w:val="00916166"/>
    <w:pPr>
      <w:pBdr>
        <w:top w:val="single" w:sz="4" w:space="0" w:color="000000"/>
        <w:left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paragraph" w:customStyle="1" w:styleId="xl87">
    <w:name w:val="xl87"/>
    <w:basedOn w:val="Normal"/>
    <w:rsid w:val="00916166"/>
    <w:pPr>
      <w:pBdr>
        <w:left w:val="single" w:sz="4" w:space="0" w:color="000000"/>
        <w:bottom w:val="single" w:sz="4" w:space="0" w:color="000000"/>
        <w:right w:val="single" w:sz="4" w:space="0" w:color="000000"/>
      </w:pBdr>
      <w:shd w:val="clear" w:color="A9D08E" w:fill="156082"/>
      <w:spacing w:before="100" w:beforeAutospacing="1" w:after="100" w:afterAutospacing="1"/>
      <w:jc w:val="center"/>
      <w:textAlignment w:val="center"/>
    </w:pPr>
    <w:rPr>
      <w:rFonts w:ascii="Calibri" w:hAnsi="Calibri" w:cs="Calibri"/>
      <w:color w:val="FFFFFF"/>
      <w:sz w:val="22"/>
      <w:szCs w:val="22"/>
      <w:lang w:eastAsia="es-EC"/>
    </w:rPr>
  </w:style>
  <w:style w:type="table" w:customStyle="1" w:styleId="Estilo10">
    <w:name w:val="Estilo1"/>
    <w:basedOn w:val="Tablanormal"/>
    <w:uiPriority w:val="99"/>
    <w:rsid w:val="00916166"/>
    <w:rPr>
      <w:rFonts w:ascii="Calibri" w:eastAsia="Droid Sans Fallback" w:hAnsi="Calibri" w:cs="Times New Roman"/>
      <w:sz w:val="20"/>
      <w:szCs w:val="20"/>
      <w:lang w:eastAsia="es-EC"/>
    </w:rPr>
    <w:tblPr/>
    <w:tcPr>
      <w:shd w:val="clear" w:color="auto" w:fill="auto"/>
    </w:tcPr>
  </w:style>
  <w:style w:type="character" w:customStyle="1" w:styleId="katex-mathml">
    <w:name w:val="katex-mathml"/>
    <w:basedOn w:val="Fuentedeprrafopredeter"/>
    <w:rsid w:val="00916166"/>
  </w:style>
  <w:style w:type="character" w:customStyle="1" w:styleId="mord">
    <w:name w:val="mord"/>
    <w:basedOn w:val="Fuentedeprrafopredeter"/>
    <w:rsid w:val="00916166"/>
  </w:style>
  <w:style w:type="character" w:customStyle="1" w:styleId="mrel">
    <w:name w:val="mrel"/>
    <w:basedOn w:val="Fuentedeprrafopredeter"/>
    <w:rsid w:val="00916166"/>
  </w:style>
  <w:style w:type="character" w:customStyle="1" w:styleId="mbin">
    <w:name w:val="mbin"/>
    <w:basedOn w:val="Fuentedeprrafopredeter"/>
    <w:rsid w:val="00916166"/>
  </w:style>
  <w:style w:type="character" w:customStyle="1" w:styleId="vlist-s">
    <w:name w:val="vlist-s"/>
    <w:basedOn w:val="Fuentedeprrafopredeter"/>
    <w:rsid w:val="00916166"/>
  </w:style>
  <w:style w:type="character" w:customStyle="1" w:styleId="overflow-hidden">
    <w:name w:val="overflow-hidden"/>
    <w:basedOn w:val="Fuentedeprrafopredeter"/>
    <w:rsid w:val="00916166"/>
  </w:style>
  <w:style w:type="paragraph" w:styleId="Cita">
    <w:name w:val="Quote"/>
    <w:basedOn w:val="Normal"/>
    <w:next w:val="Normal"/>
    <w:link w:val="CitaCar"/>
    <w:uiPriority w:val="29"/>
    <w:qFormat/>
    <w:rsid w:val="002B4885"/>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Car">
    <w:name w:val="Cita Car"/>
    <w:basedOn w:val="Fuentedeprrafopredeter"/>
    <w:link w:val="Cita"/>
    <w:uiPriority w:val="29"/>
    <w:qFormat/>
    <w:rsid w:val="002B4885"/>
    <w:rPr>
      <w:i/>
      <w:iCs/>
      <w:color w:val="404040" w:themeColor="text1" w:themeTint="BF"/>
      <w:sz w:val="22"/>
      <w:szCs w:val="22"/>
    </w:rPr>
  </w:style>
  <w:style w:type="character" w:customStyle="1" w:styleId="nfasisintenso1">
    <w:name w:val="Énfasis intenso1"/>
    <w:basedOn w:val="Fuentedeprrafopredeter"/>
    <w:uiPriority w:val="21"/>
    <w:qFormat/>
    <w:rsid w:val="002B4885"/>
    <w:rPr>
      <w:i/>
      <w:iCs/>
      <w:color w:val="2F5496" w:themeColor="accent1" w:themeShade="BF"/>
    </w:rPr>
  </w:style>
  <w:style w:type="paragraph" w:styleId="Citadestacada">
    <w:name w:val="Intense Quote"/>
    <w:basedOn w:val="Normal"/>
    <w:next w:val="Normal"/>
    <w:link w:val="CitadestacadaCar"/>
    <w:uiPriority w:val="30"/>
    <w:qFormat/>
    <w:rsid w:val="002B488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CitadestacadaCar">
    <w:name w:val="Cita destacada Car"/>
    <w:basedOn w:val="Fuentedeprrafopredeter"/>
    <w:link w:val="Citadestacada"/>
    <w:uiPriority w:val="30"/>
    <w:qFormat/>
    <w:rsid w:val="002B4885"/>
    <w:rPr>
      <w:i/>
      <w:iCs/>
      <w:color w:val="2F5496" w:themeColor="accent1" w:themeShade="BF"/>
      <w:sz w:val="22"/>
      <w:szCs w:val="22"/>
    </w:rPr>
  </w:style>
  <w:style w:type="character" w:customStyle="1" w:styleId="Referenciaintensa1">
    <w:name w:val="Referencia intensa1"/>
    <w:basedOn w:val="Fuentedeprrafopredeter"/>
    <w:uiPriority w:val="32"/>
    <w:qFormat/>
    <w:rsid w:val="002B4885"/>
    <w:rPr>
      <w:b/>
      <w:bCs/>
      <w:smallCaps/>
      <w:color w:val="2F5496" w:themeColor="accent1" w:themeShade="BF"/>
      <w:spacing w:val="5"/>
    </w:rPr>
  </w:style>
  <w:style w:type="character" w:customStyle="1" w:styleId="Mencinsinresolver1">
    <w:name w:val="Mención sin resolver1"/>
    <w:basedOn w:val="Fuentedeprrafopredeter"/>
    <w:uiPriority w:val="99"/>
    <w:semiHidden/>
    <w:unhideWhenUsed/>
    <w:qFormat/>
    <w:rsid w:val="002B4885"/>
    <w:rPr>
      <w:color w:val="605E5C"/>
      <w:shd w:val="clear" w:color="auto" w:fill="E1DFDD"/>
    </w:rPr>
  </w:style>
  <w:style w:type="paragraph" w:customStyle="1" w:styleId="Bibliografa1">
    <w:name w:val="Bibliografía1"/>
    <w:basedOn w:val="Normal"/>
    <w:next w:val="Normal"/>
    <w:uiPriority w:val="37"/>
    <w:unhideWhenUsed/>
    <w:qFormat/>
    <w:rsid w:val="002B4885"/>
    <w:pPr>
      <w:spacing w:after="160" w:line="259" w:lineRule="auto"/>
    </w:pPr>
    <w:rPr>
      <w:rFonts w:asciiTheme="minorHAnsi" w:eastAsiaTheme="minorHAnsi" w:hAnsiTheme="minorHAnsi" w:cstheme="minorBidi"/>
      <w:sz w:val="22"/>
      <w:szCs w:val="22"/>
      <w:lang w:eastAsia="en-US"/>
    </w:rPr>
  </w:style>
  <w:style w:type="table" w:customStyle="1" w:styleId="Calendario2">
    <w:name w:val="Calendario 2"/>
    <w:basedOn w:val="Tablanormal"/>
    <w:uiPriority w:val="99"/>
    <w:qFormat/>
    <w:rsid w:val="002B4885"/>
    <w:pPr>
      <w:jc w:val="center"/>
    </w:pPr>
    <w:rPr>
      <w:rFonts w:eastAsiaTheme="minorEastAsia"/>
      <w:sz w:val="28"/>
      <w:szCs w:val="28"/>
      <w:lang w:eastAsia="es-EC"/>
    </w:rPr>
    <w:tblPr>
      <w:tblBorders>
        <w:insideV w:val="single" w:sz="4" w:space="0" w:color="8EAADB" w:themeColor="accent1" w:themeTint="99"/>
      </w:tblBorders>
    </w:tblPr>
    <w:tblStylePr w:type="firstRow">
      <w:rPr>
        <w:rFonts w:asciiTheme="majorHAnsi" w:hAnsiTheme="majorHAnsi"/>
        <w:b w:val="0"/>
        <w:i w:val="0"/>
        <w:caps/>
        <w:smallCaps w:val="0"/>
        <w:color w:val="4472C4" w:themeColor="accent1"/>
        <w:spacing w:val="20"/>
        <w:sz w:val="32"/>
      </w:rPr>
      <w:tblPr/>
      <w:tcPr>
        <w:tcBorders>
          <w:top w:val="nil"/>
          <w:left w:val="nil"/>
          <w:bottom w:val="nil"/>
          <w:right w:val="nil"/>
          <w:insideH w:val="nil"/>
          <w:insideV w:val="nil"/>
          <w:tl2br w:val="nil"/>
          <w:tr2bl w:val="nil"/>
        </w:tcBorders>
      </w:tcPr>
    </w:tblStylePr>
  </w:style>
  <w:style w:type="paragraph" w:customStyle="1" w:styleId="isselectedend">
    <w:name w:val="isselectedend"/>
    <w:basedOn w:val="Normal"/>
    <w:rsid w:val="002B4885"/>
    <w:pPr>
      <w:spacing w:before="100" w:beforeAutospacing="1" w:after="100" w:afterAutospacing="1"/>
    </w:pPr>
    <w:rPr>
      <w:lang w:eastAsia="es-EC"/>
    </w:rPr>
  </w:style>
  <w:style w:type="table" w:styleId="Tablanormal1">
    <w:name w:val="Plain Table 1"/>
    <w:basedOn w:val="Tablanormal"/>
    <w:uiPriority w:val="41"/>
    <w:rsid w:val="002B4885"/>
    <w:rPr>
      <w:sz w:val="20"/>
      <w:szCs w:val="20"/>
      <w:lang w:eastAsia="es-EC"/>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delista2">
    <w:name w:val="List Table 2"/>
    <w:basedOn w:val="Tablanormal"/>
    <w:uiPriority w:val="47"/>
    <w:rsid w:val="002B488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s2">
    <w:name w:val="s2"/>
    <w:basedOn w:val="Fuentedeprrafopredeter"/>
    <w:rsid w:val="00EE42F4"/>
  </w:style>
  <w:style w:type="paragraph" w:customStyle="1" w:styleId="s6">
    <w:name w:val="s6"/>
    <w:basedOn w:val="Normal"/>
    <w:rsid w:val="00EE42F4"/>
    <w:pPr>
      <w:spacing w:before="100" w:beforeAutospacing="1" w:after="100" w:afterAutospacing="1"/>
    </w:pPr>
  </w:style>
  <w:style w:type="character" w:customStyle="1" w:styleId="s4">
    <w:name w:val="s4"/>
    <w:basedOn w:val="Fuentedeprrafopredeter"/>
    <w:rsid w:val="00EE42F4"/>
  </w:style>
  <w:style w:type="character" w:customStyle="1" w:styleId="s5">
    <w:name w:val="s5"/>
    <w:basedOn w:val="Fuentedeprrafopredeter"/>
    <w:rsid w:val="00EE42F4"/>
  </w:style>
  <w:style w:type="paragraph" w:customStyle="1" w:styleId="s8">
    <w:name w:val="s8"/>
    <w:basedOn w:val="Normal"/>
    <w:rsid w:val="00EE42F4"/>
    <w:pPr>
      <w:spacing w:before="100" w:beforeAutospacing="1" w:after="100" w:afterAutospacing="1"/>
    </w:pPr>
  </w:style>
  <w:style w:type="character" w:customStyle="1" w:styleId="s7">
    <w:name w:val="s7"/>
    <w:basedOn w:val="Fuentedeprrafopredeter"/>
    <w:rsid w:val="00EE42F4"/>
  </w:style>
  <w:style w:type="paragraph" w:customStyle="1" w:styleId="s11">
    <w:name w:val="s11"/>
    <w:basedOn w:val="Normal"/>
    <w:rsid w:val="00EE42F4"/>
    <w:pPr>
      <w:spacing w:before="100" w:beforeAutospacing="1" w:after="100" w:afterAutospacing="1"/>
    </w:pPr>
  </w:style>
  <w:style w:type="character" w:customStyle="1" w:styleId="s9">
    <w:name w:val="s9"/>
    <w:basedOn w:val="Fuentedeprrafopredeter"/>
    <w:rsid w:val="00EE42F4"/>
  </w:style>
  <w:style w:type="character" w:customStyle="1" w:styleId="s10">
    <w:name w:val="s10"/>
    <w:basedOn w:val="Fuentedeprrafopredeter"/>
    <w:rsid w:val="00EE42F4"/>
  </w:style>
  <w:style w:type="character" w:customStyle="1" w:styleId="s12">
    <w:name w:val="s12"/>
    <w:basedOn w:val="Fuentedeprrafopredeter"/>
    <w:rsid w:val="00EE42F4"/>
  </w:style>
  <w:style w:type="paragraph" w:customStyle="1" w:styleId="s14">
    <w:name w:val="s14"/>
    <w:basedOn w:val="Normal"/>
    <w:rsid w:val="00EE42F4"/>
    <w:pPr>
      <w:spacing w:before="100" w:beforeAutospacing="1" w:after="100" w:afterAutospacing="1"/>
    </w:pPr>
  </w:style>
  <w:style w:type="character" w:customStyle="1" w:styleId="s13">
    <w:name w:val="s13"/>
    <w:basedOn w:val="Fuentedeprrafopredeter"/>
    <w:rsid w:val="00EE42F4"/>
  </w:style>
  <w:style w:type="paragraph" w:customStyle="1" w:styleId="pdq2pgselectionanchorcontainer">
    <w:name w:val="pdq2pg_selectionanchorcontainer"/>
    <w:basedOn w:val="Normal"/>
    <w:rsid w:val="004A428A"/>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135527">
      <w:bodyDiv w:val="1"/>
      <w:marLeft w:val="0"/>
      <w:marRight w:val="0"/>
      <w:marTop w:val="0"/>
      <w:marBottom w:val="0"/>
      <w:divBdr>
        <w:top w:val="none" w:sz="0" w:space="0" w:color="auto"/>
        <w:left w:val="none" w:sz="0" w:space="0" w:color="auto"/>
        <w:bottom w:val="none" w:sz="0" w:space="0" w:color="auto"/>
        <w:right w:val="none" w:sz="0" w:space="0" w:color="auto"/>
      </w:divBdr>
    </w:div>
    <w:div w:id="80568237">
      <w:bodyDiv w:val="1"/>
      <w:marLeft w:val="0"/>
      <w:marRight w:val="0"/>
      <w:marTop w:val="0"/>
      <w:marBottom w:val="0"/>
      <w:divBdr>
        <w:top w:val="none" w:sz="0" w:space="0" w:color="auto"/>
        <w:left w:val="none" w:sz="0" w:space="0" w:color="auto"/>
        <w:bottom w:val="none" w:sz="0" w:space="0" w:color="auto"/>
        <w:right w:val="none" w:sz="0" w:space="0" w:color="auto"/>
      </w:divBdr>
    </w:div>
    <w:div w:id="102507067">
      <w:bodyDiv w:val="1"/>
      <w:marLeft w:val="0"/>
      <w:marRight w:val="0"/>
      <w:marTop w:val="0"/>
      <w:marBottom w:val="0"/>
      <w:divBdr>
        <w:top w:val="none" w:sz="0" w:space="0" w:color="auto"/>
        <w:left w:val="none" w:sz="0" w:space="0" w:color="auto"/>
        <w:bottom w:val="none" w:sz="0" w:space="0" w:color="auto"/>
        <w:right w:val="none" w:sz="0" w:space="0" w:color="auto"/>
      </w:divBdr>
    </w:div>
    <w:div w:id="135144242">
      <w:bodyDiv w:val="1"/>
      <w:marLeft w:val="0"/>
      <w:marRight w:val="0"/>
      <w:marTop w:val="0"/>
      <w:marBottom w:val="0"/>
      <w:divBdr>
        <w:top w:val="none" w:sz="0" w:space="0" w:color="auto"/>
        <w:left w:val="none" w:sz="0" w:space="0" w:color="auto"/>
        <w:bottom w:val="none" w:sz="0" w:space="0" w:color="auto"/>
        <w:right w:val="none" w:sz="0" w:space="0" w:color="auto"/>
      </w:divBdr>
    </w:div>
    <w:div w:id="158079647">
      <w:bodyDiv w:val="1"/>
      <w:marLeft w:val="0"/>
      <w:marRight w:val="0"/>
      <w:marTop w:val="0"/>
      <w:marBottom w:val="0"/>
      <w:divBdr>
        <w:top w:val="none" w:sz="0" w:space="0" w:color="auto"/>
        <w:left w:val="none" w:sz="0" w:space="0" w:color="auto"/>
        <w:bottom w:val="none" w:sz="0" w:space="0" w:color="auto"/>
        <w:right w:val="none" w:sz="0" w:space="0" w:color="auto"/>
      </w:divBdr>
    </w:div>
    <w:div w:id="182979470">
      <w:bodyDiv w:val="1"/>
      <w:marLeft w:val="0"/>
      <w:marRight w:val="0"/>
      <w:marTop w:val="0"/>
      <w:marBottom w:val="0"/>
      <w:divBdr>
        <w:top w:val="none" w:sz="0" w:space="0" w:color="auto"/>
        <w:left w:val="none" w:sz="0" w:space="0" w:color="auto"/>
        <w:bottom w:val="none" w:sz="0" w:space="0" w:color="auto"/>
        <w:right w:val="none" w:sz="0" w:space="0" w:color="auto"/>
      </w:divBdr>
    </w:div>
    <w:div w:id="207643181">
      <w:bodyDiv w:val="1"/>
      <w:marLeft w:val="0"/>
      <w:marRight w:val="0"/>
      <w:marTop w:val="0"/>
      <w:marBottom w:val="0"/>
      <w:divBdr>
        <w:top w:val="none" w:sz="0" w:space="0" w:color="auto"/>
        <w:left w:val="none" w:sz="0" w:space="0" w:color="auto"/>
        <w:bottom w:val="none" w:sz="0" w:space="0" w:color="auto"/>
        <w:right w:val="none" w:sz="0" w:space="0" w:color="auto"/>
      </w:divBdr>
    </w:div>
    <w:div w:id="224075836">
      <w:bodyDiv w:val="1"/>
      <w:marLeft w:val="0"/>
      <w:marRight w:val="0"/>
      <w:marTop w:val="0"/>
      <w:marBottom w:val="0"/>
      <w:divBdr>
        <w:top w:val="none" w:sz="0" w:space="0" w:color="auto"/>
        <w:left w:val="none" w:sz="0" w:space="0" w:color="auto"/>
        <w:bottom w:val="none" w:sz="0" w:space="0" w:color="auto"/>
        <w:right w:val="none" w:sz="0" w:space="0" w:color="auto"/>
      </w:divBdr>
    </w:div>
    <w:div w:id="277487702">
      <w:bodyDiv w:val="1"/>
      <w:marLeft w:val="0"/>
      <w:marRight w:val="0"/>
      <w:marTop w:val="0"/>
      <w:marBottom w:val="0"/>
      <w:divBdr>
        <w:top w:val="none" w:sz="0" w:space="0" w:color="auto"/>
        <w:left w:val="none" w:sz="0" w:space="0" w:color="auto"/>
        <w:bottom w:val="none" w:sz="0" w:space="0" w:color="auto"/>
        <w:right w:val="none" w:sz="0" w:space="0" w:color="auto"/>
      </w:divBdr>
    </w:div>
    <w:div w:id="371347163">
      <w:bodyDiv w:val="1"/>
      <w:marLeft w:val="0"/>
      <w:marRight w:val="0"/>
      <w:marTop w:val="0"/>
      <w:marBottom w:val="0"/>
      <w:divBdr>
        <w:top w:val="none" w:sz="0" w:space="0" w:color="auto"/>
        <w:left w:val="none" w:sz="0" w:space="0" w:color="auto"/>
        <w:bottom w:val="none" w:sz="0" w:space="0" w:color="auto"/>
        <w:right w:val="none" w:sz="0" w:space="0" w:color="auto"/>
      </w:divBdr>
    </w:div>
    <w:div w:id="373508663">
      <w:bodyDiv w:val="1"/>
      <w:marLeft w:val="0"/>
      <w:marRight w:val="0"/>
      <w:marTop w:val="0"/>
      <w:marBottom w:val="0"/>
      <w:divBdr>
        <w:top w:val="none" w:sz="0" w:space="0" w:color="auto"/>
        <w:left w:val="none" w:sz="0" w:space="0" w:color="auto"/>
        <w:bottom w:val="none" w:sz="0" w:space="0" w:color="auto"/>
        <w:right w:val="none" w:sz="0" w:space="0" w:color="auto"/>
      </w:divBdr>
    </w:div>
    <w:div w:id="422846793">
      <w:bodyDiv w:val="1"/>
      <w:marLeft w:val="0"/>
      <w:marRight w:val="0"/>
      <w:marTop w:val="0"/>
      <w:marBottom w:val="0"/>
      <w:divBdr>
        <w:top w:val="none" w:sz="0" w:space="0" w:color="auto"/>
        <w:left w:val="none" w:sz="0" w:space="0" w:color="auto"/>
        <w:bottom w:val="none" w:sz="0" w:space="0" w:color="auto"/>
        <w:right w:val="none" w:sz="0" w:space="0" w:color="auto"/>
      </w:divBdr>
    </w:div>
    <w:div w:id="423721178">
      <w:bodyDiv w:val="1"/>
      <w:marLeft w:val="0"/>
      <w:marRight w:val="0"/>
      <w:marTop w:val="0"/>
      <w:marBottom w:val="0"/>
      <w:divBdr>
        <w:top w:val="none" w:sz="0" w:space="0" w:color="auto"/>
        <w:left w:val="none" w:sz="0" w:space="0" w:color="auto"/>
        <w:bottom w:val="none" w:sz="0" w:space="0" w:color="auto"/>
        <w:right w:val="none" w:sz="0" w:space="0" w:color="auto"/>
      </w:divBdr>
    </w:div>
    <w:div w:id="468984592">
      <w:bodyDiv w:val="1"/>
      <w:marLeft w:val="0"/>
      <w:marRight w:val="0"/>
      <w:marTop w:val="0"/>
      <w:marBottom w:val="0"/>
      <w:divBdr>
        <w:top w:val="none" w:sz="0" w:space="0" w:color="auto"/>
        <w:left w:val="none" w:sz="0" w:space="0" w:color="auto"/>
        <w:bottom w:val="none" w:sz="0" w:space="0" w:color="auto"/>
        <w:right w:val="none" w:sz="0" w:space="0" w:color="auto"/>
      </w:divBdr>
    </w:div>
    <w:div w:id="499126466">
      <w:bodyDiv w:val="1"/>
      <w:marLeft w:val="0"/>
      <w:marRight w:val="0"/>
      <w:marTop w:val="0"/>
      <w:marBottom w:val="0"/>
      <w:divBdr>
        <w:top w:val="none" w:sz="0" w:space="0" w:color="auto"/>
        <w:left w:val="none" w:sz="0" w:space="0" w:color="auto"/>
        <w:bottom w:val="none" w:sz="0" w:space="0" w:color="auto"/>
        <w:right w:val="none" w:sz="0" w:space="0" w:color="auto"/>
      </w:divBdr>
    </w:div>
    <w:div w:id="553396479">
      <w:bodyDiv w:val="1"/>
      <w:marLeft w:val="0"/>
      <w:marRight w:val="0"/>
      <w:marTop w:val="0"/>
      <w:marBottom w:val="0"/>
      <w:divBdr>
        <w:top w:val="none" w:sz="0" w:space="0" w:color="auto"/>
        <w:left w:val="none" w:sz="0" w:space="0" w:color="auto"/>
        <w:bottom w:val="none" w:sz="0" w:space="0" w:color="auto"/>
        <w:right w:val="none" w:sz="0" w:space="0" w:color="auto"/>
      </w:divBdr>
    </w:div>
    <w:div w:id="559287703">
      <w:bodyDiv w:val="1"/>
      <w:marLeft w:val="0"/>
      <w:marRight w:val="0"/>
      <w:marTop w:val="0"/>
      <w:marBottom w:val="0"/>
      <w:divBdr>
        <w:top w:val="none" w:sz="0" w:space="0" w:color="auto"/>
        <w:left w:val="none" w:sz="0" w:space="0" w:color="auto"/>
        <w:bottom w:val="none" w:sz="0" w:space="0" w:color="auto"/>
        <w:right w:val="none" w:sz="0" w:space="0" w:color="auto"/>
      </w:divBdr>
    </w:div>
    <w:div w:id="573586454">
      <w:bodyDiv w:val="1"/>
      <w:marLeft w:val="0"/>
      <w:marRight w:val="0"/>
      <w:marTop w:val="0"/>
      <w:marBottom w:val="0"/>
      <w:divBdr>
        <w:top w:val="none" w:sz="0" w:space="0" w:color="auto"/>
        <w:left w:val="none" w:sz="0" w:space="0" w:color="auto"/>
        <w:bottom w:val="none" w:sz="0" w:space="0" w:color="auto"/>
        <w:right w:val="none" w:sz="0" w:space="0" w:color="auto"/>
      </w:divBdr>
    </w:div>
    <w:div w:id="575438165">
      <w:bodyDiv w:val="1"/>
      <w:marLeft w:val="0"/>
      <w:marRight w:val="0"/>
      <w:marTop w:val="0"/>
      <w:marBottom w:val="0"/>
      <w:divBdr>
        <w:top w:val="none" w:sz="0" w:space="0" w:color="auto"/>
        <w:left w:val="none" w:sz="0" w:space="0" w:color="auto"/>
        <w:bottom w:val="none" w:sz="0" w:space="0" w:color="auto"/>
        <w:right w:val="none" w:sz="0" w:space="0" w:color="auto"/>
      </w:divBdr>
    </w:div>
    <w:div w:id="586765521">
      <w:bodyDiv w:val="1"/>
      <w:marLeft w:val="0"/>
      <w:marRight w:val="0"/>
      <w:marTop w:val="0"/>
      <w:marBottom w:val="0"/>
      <w:divBdr>
        <w:top w:val="none" w:sz="0" w:space="0" w:color="auto"/>
        <w:left w:val="none" w:sz="0" w:space="0" w:color="auto"/>
        <w:bottom w:val="none" w:sz="0" w:space="0" w:color="auto"/>
        <w:right w:val="none" w:sz="0" w:space="0" w:color="auto"/>
      </w:divBdr>
    </w:div>
    <w:div w:id="680665435">
      <w:bodyDiv w:val="1"/>
      <w:marLeft w:val="0"/>
      <w:marRight w:val="0"/>
      <w:marTop w:val="0"/>
      <w:marBottom w:val="0"/>
      <w:divBdr>
        <w:top w:val="none" w:sz="0" w:space="0" w:color="auto"/>
        <w:left w:val="none" w:sz="0" w:space="0" w:color="auto"/>
        <w:bottom w:val="none" w:sz="0" w:space="0" w:color="auto"/>
        <w:right w:val="none" w:sz="0" w:space="0" w:color="auto"/>
      </w:divBdr>
    </w:div>
    <w:div w:id="720401568">
      <w:bodyDiv w:val="1"/>
      <w:marLeft w:val="0"/>
      <w:marRight w:val="0"/>
      <w:marTop w:val="0"/>
      <w:marBottom w:val="0"/>
      <w:divBdr>
        <w:top w:val="none" w:sz="0" w:space="0" w:color="auto"/>
        <w:left w:val="none" w:sz="0" w:space="0" w:color="auto"/>
        <w:bottom w:val="none" w:sz="0" w:space="0" w:color="auto"/>
        <w:right w:val="none" w:sz="0" w:space="0" w:color="auto"/>
      </w:divBdr>
    </w:div>
    <w:div w:id="755635279">
      <w:bodyDiv w:val="1"/>
      <w:marLeft w:val="0"/>
      <w:marRight w:val="0"/>
      <w:marTop w:val="0"/>
      <w:marBottom w:val="0"/>
      <w:divBdr>
        <w:top w:val="none" w:sz="0" w:space="0" w:color="auto"/>
        <w:left w:val="none" w:sz="0" w:space="0" w:color="auto"/>
        <w:bottom w:val="none" w:sz="0" w:space="0" w:color="auto"/>
        <w:right w:val="none" w:sz="0" w:space="0" w:color="auto"/>
      </w:divBdr>
    </w:div>
    <w:div w:id="764694707">
      <w:bodyDiv w:val="1"/>
      <w:marLeft w:val="0"/>
      <w:marRight w:val="0"/>
      <w:marTop w:val="0"/>
      <w:marBottom w:val="0"/>
      <w:divBdr>
        <w:top w:val="none" w:sz="0" w:space="0" w:color="auto"/>
        <w:left w:val="none" w:sz="0" w:space="0" w:color="auto"/>
        <w:bottom w:val="none" w:sz="0" w:space="0" w:color="auto"/>
        <w:right w:val="none" w:sz="0" w:space="0" w:color="auto"/>
      </w:divBdr>
    </w:div>
    <w:div w:id="811019230">
      <w:bodyDiv w:val="1"/>
      <w:marLeft w:val="0"/>
      <w:marRight w:val="0"/>
      <w:marTop w:val="0"/>
      <w:marBottom w:val="0"/>
      <w:divBdr>
        <w:top w:val="none" w:sz="0" w:space="0" w:color="auto"/>
        <w:left w:val="none" w:sz="0" w:space="0" w:color="auto"/>
        <w:bottom w:val="none" w:sz="0" w:space="0" w:color="auto"/>
        <w:right w:val="none" w:sz="0" w:space="0" w:color="auto"/>
      </w:divBdr>
    </w:div>
    <w:div w:id="838009418">
      <w:bodyDiv w:val="1"/>
      <w:marLeft w:val="0"/>
      <w:marRight w:val="0"/>
      <w:marTop w:val="0"/>
      <w:marBottom w:val="0"/>
      <w:divBdr>
        <w:top w:val="none" w:sz="0" w:space="0" w:color="auto"/>
        <w:left w:val="none" w:sz="0" w:space="0" w:color="auto"/>
        <w:bottom w:val="none" w:sz="0" w:space="0" w:color="auto"/>
        <w:right w:val="none" w:sz="0" w:space="0" w:color="auto"/>
      </w:divBdr>
    </w:div>
    <w:div w:id="854467237">
      <w:bodyDiv w:val="1"/>
      <w:marLeft w:val="0"/>
      <w:marRight w:val="0"/>
      <w:marTop w:val="0"/>
      <w:marBottom w:val="0"/>
      <w:divBdr>
        <w:top w:val="none" w:sz="0" w:space="0" w:color="auto"/>
        <w:left w:val="none" w:sz="0" w:space="0" w:color="auto"/>
        <w:bottom w:val="none" w:sz="0" w:space="0" w:color="auto"/>
        <w:right w:val="none" w:sz="0" w:space="0" w:color="auto"/>
      </w:divBdr>
    </w:div>
    <w:div w:id="877428697">
      <w:bodyDiv w:val="1"/>
      <w:marLeft w:val="0"/>
      <w:marRight w:val="0"/>
      <w:marTop w:val="0"/>
      <w:marBottom w:val="0"/>
      <w:divBdr>
        <w:top w:val="none" w:sz="0" w:space="0" w:color="auto"/>
        <w:left w:val="none" w:sz="0" w:space="0" w:color="auto"/>
        <w:bottom w:val="none" w:sz="0" w:space="0" w:color="auto"/>
        <w:right w:val="none" w:sz="0" w:space="0" w:color="auto"/>
      </w:divBdr>
    </w:div>
    <w:div w:id="884871942">
      <w:bodyDiv w:val="1"/>
      <w:marLeft w:val="0"/>
      <w:marRight w:val="0"/>
      <w:marTop w:val="0"/>
      <w:marBottom w:val="0"/>
      <w:divBdr>
        <w:top w:val="none" w:sz="0" w:space="0" w:color="auto"/>
        <w:left w:val="none" w:sz="0" w:space="0" w:color="auto"/>
        <w:bottom w:val="none" w:sz="0" w:space="0" w:color="auto"/>
        <w:right w:val="none" w:sz="0" w:space="0" w:color="auto"/>
      </w:divBdr>
    </w:div>
    <w:div w:id="948122804">
      <w:bodyDiv w:val="1"/>
      <w:marLeft w:val="0"/>
      <w:marRight w:val="0"/>
      <w:marTop w:val="0"/>
      <w:marBottom w:val="0"/>
      <w:divBdr>
        <w:top w:val="none" w:sz="0" w:space="0" w:color="auto"/>
        <w:left w:val="none" w:sz="0" w:space="0" w:color="auto"/>
        <w:bottom w:val="none" w:sz="0" w:space="0" w:color="auto"/>
        <w:right w:val="none" w:sz="0" w:space="0" w:color="auto"/>
      </w:divBdr>
    </w:div>
    <w:div w:id="965696468">
      <w:bodyDiv w:val="1"/>
      <w:marLeft w:val="0"/>
      <w:marRight w:val="0"/>
      <w:marTop w:val="0"/>
      <w:marBottom w:val="0"/>
      <w:divBdr>
        <w:top w:val="none" w:sz="0" w:space="0" w:color="auto"/>
        <w:left w:val="none" w:sz="0" w:space="0" w:color="auto"/>
        <w:bottom w:val="none" w:sz="0" w:space="0" w:color="auto"/>
        <w:right w:val="none" w:sz="0" w:space="0" w:color="auto"/>
      </w:divBdr>
    </w:div>
    <w:div w:id="966006039">
      <w:bodyDiv w:val="1"/>
      <w:marLeft w:val="0"/>
      <w:marRight w:val="0"/>
      <w:marTop w:val="0"/>
      <w:marBottom w:val="0"/>
      <w:divBdr>
        <w:top w:val="none" w:sz="0" w:space="0" w:color="auto"/>
        <w:left w:val="none" w:sz="0" w:space="0" w:color="auto"/>
        <w:bottom w:val="none" w:sz="0" w:space="0" w:color="auto"/>
        <w:right w:val="none" w:sz="0" w:space="0" w:color="auto"/>
      </w:divBdr>
    </w:div>
    <w:div w:id="975451754">
      <w:bodyDiv w:val="1"/>
      <w:marLeft w:val="0"/>
      <w:marRight w:val="0"/>
      <w:marTop w:val="0"/>
      <w:marBottom w:val="0"/>
      <w:divBdr>
        <w:top w:val="none" w:sz="0" w:space="0" w:color="auto"/>
        <w:left w:val="none" w:sz="0" w:space="0" w:color="auto"/>
        <w:bottom w:val="none" w:sz="0" w:space="0" w:color="auto"/>
        <w:right w:val="none" w:sz="0" w:space="0" w:color="auto"/>
      </w:divBdr>
    </w:div>
    <w:div w:id="1063529017">
      <w:bodyDiv w:val="1"/>
      <w:marLeft w:val="0"/>
      <w:marRight w:val="0"/>
      <w:marTop w:val="0"/>
      <w:marBottom w:val="0"/>
      <w:divBdr>
        <w:top w:val="none" w:sz="0" w:space="0" w:color="auto"/>
        <w:left w:val="none" w:sz="0" w:space="0" w:color="auto"/>
        <w:bottom w:val="none" w:sz="0" w:space="0" w:color="auto"/>
        <w:right w:val="none" w:sz="0" w:space="0" w:color="auto"/>
      </w:divBdr>
    </w:div>
    <w:div w:id="1115951145">
      <w:bodyDiv w:val="1"/>
      <w:marLeft w:val="0"/>
      <w:marRight w:val="0"/>
      <w:marTop w:val="0"/>
      <w:marBottom w:val="0"/>
      <w:divBdr>
        <w:top w:val="none" w:sz="0" w:space="0" w:color="auto"/>
        <w:left w:val="none" w:sz="0" w:space="0" w:color="auto"/>
        <w:bottom w:val="none" w:sz="0" w:space="0" w:color="auto"/>
        <w:right w:val="none" w:sz="0" w:space="0" w:color="auto"/>
      </w:divBdr>
    </w:div>
    <w:div w:id="1117719494">
      <w:bodyDiv w:val="1"/>
      <w:marLeft w:val="0"/>
      <w:marRight w:val="0"/>
      <w:marTop w:val="0"/>
      <w:marBottom w:val="0"/>
      <w:divBdr>
        <w:top w:val="none" w:sz="0" w:space="0" w:color="auto"/>
        <w:left w:val="none" w:sz="0" w:space="0" w:color="auto"/>
        <w:bottom w:val="none" w:sz="0" w:space="0" w:color="auto"/>
        <w:right w:val="none" w:sz="0" w:space="0" w:color="auto"/>
      </w:divBdr>
    </w:div>
    <w:div w:id="1129518464">
      <w:bodyDiv w:val="1"/>
      <w:marLeft w:val="0"/>
      <w:marRight w:val="0"/>
      <w:marTop w:val="0"/>
      <w:marBottom w:val="0"/>
      <w:divBdr>
        <w:top w:val="none" w:sz="0" w:space="0" w:color="auto"/>
        <w:left w:val="none" w:sz="0" w:space="0" w:color="auto"/>
        <w:bottom w:val="none" w:sz="0" w:space="0" w:color="auto"/>
        <w:right w:val="none" w:sz="0" w:space="0" w:color="auto"/>
      </w:divBdr>
    </w:div>
    <w:div w:id="1134299082">
      <w:bodyDiv w:val="1"/>
      <w:marLeft w:val="0"/>
      <w:marRight w:val="0"/>
      <w:marTop w:val="0"/>
      <w:marBottom w:val="0"/>
      <w:divBdr>
        <w:top w:val="none" w:sz="0" w:space="0" w:color="auto"/>
        <w:left w:val="none" w:sz="0" w:space="0" w:color="auto"/>
        <w:bottom w:val="none" w:sz="0" w:space="0" w:color="auto"/>
        <w:right w:val="none" w:sz="0" w:space="0" w:color="auto"/>
      </w:divBdr>
    </w:div>
    <w:div w:id="1205212987">
      <w:bodyDiv w:val="1"/>
      <w:marLeft w:val="0"/>
      <w:marRight w:val="0"/>
      <w:marTop w:val="0"/>
      <w:marBottom w:val="0"/>
      <w:divBdr>
        <w:top w:val="none" w:sz="0" w:space="0" w:color="auto"/>
        <w:left w:val="none" w:sz="0" w:space="0" w:color="auto"/>
        <w:bottom w:val="none" w:sz="0" w:space="0" w:color="auto"/>
        <w:right w:val="none" w:sz="0" w:space="0" w:color="auto"/>
      </w:divBdr>
    </w:div>
    <w:div w:id="1279795780">
      <w:bodyDiv w:val="1"/>
      <w:marLeft w:val="0"/>
      <w:marRight w:val="0"/>
      <w:marTop w:val="0"/>
      <w:marBottom w:val="0"/>
      <w:divBdr>
        <w:top w:val="none" w:sz="0" w:space="0" w:color="auto"/>
        <w:left w:val="none" w:sz="0" w:space="0" w:color="auto"/>
        <w:bottom w:val="none" w:sz="0" w:space="0" w:color="auto"/>
        <w:right w:val="none" w:sz="0" w:space="0" w:color="auto"/>
      </w:divBdr>
    </w:div>
    <w:div w:id="1314944843">
      <w:bodyDiv w:val="1"/>
      <w:marLeft w:val="0"/>
      <w:marRight w:val="0"/>
      <w:marTop w:val="0"/>
      <w:marBottom w:val="0"/>
      <w:divBdr>
        <w:top w:val="none" w:sz="0" w:space="0" w:color="auto"/>
        <w:left w:val="none" w:sz="0" w:space="0" w:color="auto"/>
        <w:bottom w:val="none" w:sz="0" w:space="0" w:color="auto"/>
        <w:right w:val="none" w:sz="0" w:space="0" w:color="auto"/>
      </w:divBdr>
    </w:div>
    <w:div w:id="1325551410">
      <w:bodyDiv w:val="1"/>
      <w:marLeft w:val="0"/>
      <w:marRight w:val="0"/>
      <w:marTop w:val="0"/>
      <w:marBottom w:val="0"/>
      <w:divBdr>
        <w:top w:val="none" w:sz="0" w:space="0" w:color="auto"/>
        <w:left w:val="none" w:sz="0" w:space="0" w:color="auto"/>
        <w:bottom w:val="none" w:sz="0" w:space="0" w:color="auto"/>
        <w:right w:val="none" w:sz="0" w:space="0" w:color="auto"/>
      </w:divBdr>
    </w:div>
    <w:div w:id="1346590664">
      <w:bodyDiv w:val="1"/>
      <w:marLeft w:val="0"/>
      <w:marRight w:val="0"/>
      <w:marTop w:val="0"/>
      <w:marBottom w:val="0"/>
      <w:divBdr>
        <w:top w:val="none" w:sz="0" w:space="0" w:color="auto"/>
        <w:left w:val="none" w:sz="0" w:space="0" w:color="auto"/>
        <w:bottom w:val="none" w:sz="0" w:space="0" w:color="auto"/>
        <w:right w:val="none" w:sz="0" w:space="0" w:color="auto"/>
      </w:divBdr>
    </w:div>
    <w:div w:id="1383140401">
      <w:bodyDiv w:val="1"/>
      <w:marLeft w:val="0"/>
      <w:marRight w:val="0"/>
      <w:marTop w:val="0"/>
      <w:marBottom w:val="0"/>
      <w:divBdr>
        <w:top w:val="none" w:sz="0" w:space="0" w:color="auto"/>
        <w:left w:val="none" w:sz="0" w:space="0" w:color="auto"/>
        <w:bottom w:val="none" w:sz="0" w:space="0" w:color="auto"/>
        <w:right w:val="none" w:sz="0" w:space="0" w:color="auto"/>
      </w:divBdr>
    </w:div>
    <w:div w:id="1387604787">
      <w:bodyDiv w:val="1"/>
      <w:marLeft w:val="0"/>
      <w:marRight w:val="0"/>
      <w:marTop w:val="0"/>
      <w:marBottom w:val="0"/>
      <w:divBdr>
        <w:top w:val="none" w:sz="0" w:space="0" w:color="auto"/>
        <w:left w:val="none" w:sz="0" w:space="0" w:color="auto"/>
        <w:bottom w:val="none" w:sz="0" w:space="0" w:color="auto"/>
        <w:right w:val="none" w:sz="0" w:space="0" w:color="auto"/>
      </w:divBdr>
    </w:div>
    <w:div w:id="1407264687">
      <w:bodyDiv w:val="1"/>
      <w:marLeft w:val="0"/>
      <w:marRight w:val="0"/>
      <w:marTop w:val="0"/>
      <w:marBottom w:val="0"/>
      <w:divBdr>
        <w:top w:val="none" w:sz="0" w:space="0" w:color="auto"/>
        <w:left w:val="none" w:sz="0" w:space="0" w:color="auto"/>
        <w:bottom w:val="none" w:sz="0" w:space="0" w:color="auto"/>
        <w:right w:val="none" w:sz="0" w:space="0" w:color="auto"/>
      </w:divBdr>
    </w:div>
    <w:div w:id="1433474601">
      <w:bodyDiv w:val="1"/>
      <w:marLeft w:val="0"/>
      <w:marRight w:val="0"/>
      <w:marTop w:val="0"/>
      <w:marBottom w:val="0"/>
      <w:divBdr>
        <w:top w:val="none" w:sz="0" w:space="0" w:color="auto"/>
        <w:left w:val="none" w:sz="0" w:space="0" w:color="auto"/>
        <w:bottom w:val="none" w:sz="0" w:space="0" w:color="auto"/>
        <w:right w:val="none" w:sz="0" w:space="0" w:color="auto"/>
      </w:divBdr>
    </w:div>
    <w:div w:id="1541016624">
      <w:bodyDiv w:val="1"/>
      <w:marLeft w:val="0"/>
      <w:marRight w:val="0"/>
      <w:marTop w:val="0"/>
      <w:marBottom w:val="0"/>
      <w:divBdr>
        <w:top w:val="none" w:sz="0" w:space="0" w:color="auto"/>
        <w:left w:val="none" w:sz="0" w:space="0" w:color="auto"/>
        <w:bottom w:val="none" w:sz="0" w:space="0" w:color="auto"/>
        <w:right w:val="none" w:sz="0" w:space="0" w:color="auto"/>
      </w:divBdr>
    </w:div>
    <w:div w:id="1541939545">
      <w:bodyDiv w:val="1"/>
      <w:marLeft w:val="0"/>
      <w:marRight w:val="0"/>
      <w:marTop w:val="0"/>
      <w:marBottom w:val="0"/>
      <w:divBdr>
        <w:top w:val="none" w:sz="0" w:space="0" w:color="auto"/>
        <w:left w:val="none" w:sz="0" w:space="0" w:color="auto"/>
        <w:bottom w:val="none" w:sz="0" w:space="0" w:color="auto"/>
        <w:right w:val="none" w:sz="0" w:space="0" w:color="auto"/>
      </w:divBdr>
    </w:div>
    <w:div w:id="1553803790">
      <w:bodyDiv w:val="1"/>
      <w:marLeft w:val="0"/>
      <w:marRight w:val="0"/>
      <w:marTop w:val="0"/>
      <w:marBottom w:val="0"/>
      <w:divBdr>
        <w:top w:val="none" w:sz="0" w:space="0" w:color="auto"/>
        <w:left w:val="none" w:sz="0" w:space="0" w:color="auto"/>
        <w:bottom w:val="none" w:sz="0" w:space="0" w:color="auto"/>
        <w:right w:val="none" w:sz="0" w:space="0" w:color="auto"/>
      </w:divBdr>
    </w:div>
    <w:div w:id="1642153059">
      <w:bodyDiv w:val="1"/>
      <w:marLeft w:val="0"/>
      <w:marRight w:val="0"/>
      <w:marTop w:val="0"/>
      <w:marBottom w:val="0"/>
      <w:divBdr>
        <w:top w:val="none" w:sz="0" w:space="0" w:color="auto"/>
        <w:left w:val="none" w:sz="0" w:space="0" w:color="auto"/>
        <w:bottom w:val="none" w:sz="0" w:space="0" w:color="auto"/>
        <w:right w:val="none" w:sz="0" w:space="0" w:color="auto"/>
      </w:divBdr>
    </w:div>
    <w:div w:id="1673990066">
      <w:bodyDiv w:val="1"/>
      <w:marLeft w:val="0"/>
      <w:marRight w:val="0"/>
      <w:marTop w:val="0"/>
      <w:marBottom w:val="0"/>
      <w:divBdr>
        <w:top w:val="none" w:sz="0" w:space="0" w:color="auto"/>
        <w:left w:val="none" w:sz="0" w:space="0" w:color="auto"/>
        <w:bottom w:val="none" w:sz="0" w:space="0" w:color="auto"/>
        <w:right w:val="none" w:sz="0" w:space="0" w:color="auto"/>
      </w:divBdr>
    </w:div>
    <w:div w:id="1757896145">
      <w:bodyDiv w:val="1"/>
      <w:marLeft w:val="0"/>
      <w:marRight w:val="0"/>
      <w:marTop w:val="0"/>
      <w:marBottom w:val="0"/>
      <w:divBdr>
        <w:top w:val="none" w:sz="0" w:space="0" w:color="auto"/>
        <w:left w:val="none" w:sz="0" w:space="0" w:color="auto"/>
        <w:bottom w:val="none" w:sz="0" w:space="0" w:color="auto"/>
        <w:right w:val="none" w:sz="0" w:space="0" w:color="auto"/>
      </w:divBdr>
    </w:div>
    <w:div w:id="1760517477">
      <w:bodyDiv w:val="1"/>
      <w:marLeft w:val="0"/>
      <w:marRight w:val="0"/>
      <w:marTop w:val="0"/>
      <w:marBottom w:val="0"/>
      <w:divBdr>
        <w:top w:val="none" w:sz="0" w:space="0" w:color="auto"/>
        <w:left w:val="none" w:sz="0" w:space="0" w:color="auto"/>
        <w:bottom w:val="none" w:sz="0" w:space="0" w:color="auto"/>
        <w:right w:val="none" w:sz="0" w:space="0" w:color="auto"/>
      </w:divBdr>
    </w:div>
    <w:div w:id="1780952631">
      <w:bodyDiv w:val="1"/>
      <w:marLeft w:val="0"/>
      <w:marRight w:val="0"/>
      <w:marTop w:val="0"/>
      <w:marBottom w:val="0"/>
      <w:divBdr>
        <w:top w:val="none" w:sz="0" w:space="0" w:color="auto"/>
        <w:left w:val="none" w:sz="0" w:space="0" w:color="auto"/>
        <w:bottom w:val="none" w:sz="0" w:space="0" w:color="auto"/>
        <w:right w:val="none" w:sz="0" w:space="0" w:color="auto"/>
      </w:divBdr>
    </w:div>
    <w:div w:id="1816022571">
      <w:bodyDiv w:val="1"/>
      <w:marLeft w:val="0"/>
      <w:marRight w:val="0"/>
      <w:marTop w:val="0"/>
      <w:marBottom w:val="0"/>
      <w:divBdr>
        <w:top w:val="none" w:sz="0" w:space="0" w:color="auto"/>
        <w:left w:val="none" w:sz="0" w:space="0" w:color="auto"/>
        <w:bottom w:val="none" w:sz="0" w:space="0" w:color="auto"/>
        <w:right w:val="none" w:sz="0" w:space="0" w:color="auto"/>
      </w:divBdr>
    </w:div>
    <w:div w:id="1829403229">
      <w:bodyDiv w:val="1"/>
      <w:marLeft w:val="0"/>
      <w:marRight w:val="0"/>
      <w:marTop w:val="0"/>
      <w:marBottom w:val="0"/>
      <w:divBdr>
        <w:top w:val="none" w:sz="0" w:space="0" w:color="auto"/>
        <w:left w:val="none" w:sz="0" w:space="0" w:color="auto"/>
        <w:bottom w:val="none" w:sz="0" w:space="0" w:color="auto"/>
        <w:right w:val="none" w:sz="0" w:space="0" w:color="auto"/>
      </w:divBdr>
    </w:div>
    <w:div w:id="1909800726">
      <w:bodyDiv w:val="1"/>
      <w:marLeft w:val="0"/>
      <w:marRight w:val="0"/>
      <w:marTop w:val="0"/>
      <w:marBottom w:val="0"/>
      <w:divBdr>
        <w:top w:val="none" w:sz="0" w:space="0" w:color="auto"/>
        <w:left w:val="none" w:sz="0" w:space="0" w:color="auto"/>
        <w:bottom w:val="none" w:sz="0" w:space="0" w:color="auto"/>
        <w:right w:val="none" w:sz="0" w:space="0" w:color="auto"/>
      </w:divBdr>
    </w:div>
    <w:div w:id="1932354144">
      <w:bodyDiv w:val="1"/>
      <w:marLeft w:val="0"/>
      <w:marRight w:val="0"/>
      <w:marTop w:val="0"/>
      <w:marBottom w:val="0"/>
      <w:divBdr>
        <w:top w:val="none" w:sz="0" w:space="0" w:color="auto"/>
        <w:left w:val="none" w:sz="0" w:space="0" w:color="auto"/>
        <w:bottom w:val="none" w:sz="0" w:space="0" w:color="auto"/>
        <w:right w:val="none" w:sz="0" w:space="0" w:color="auto"/>
      </w:divBdr>
    </w:div>
    <w:div w:id="1978486743">
      <w:bodyDiv w:val="1"/>
      <w:marLeft w:val="0"/>
      <w:marRight w:val="0"/>
      <w:marTop w:val="0"/>
      <w:marBottom w:val="0"/>
      <w:divBdr>
        <w:top w:val="none" w:sz="0" w:space="0" w:color="auto"/>
        <w:left w:val="none" w:sz="0" w:space="0" w:color="auto"/>
        <w:bottom w:val="none" w:sz="0" w:space="0" w:color="auto"/>
        <w:right w:val="none" w:sz="0" w:space="0" w:color="auto"/>
      </w:divBdr>
    </w:div>
    <w:div w:id="1983077396">
      <w:bodyDiv w:val="1"/>
      <w:marLeft w:val="0"/>
      <w:marRight w:val="0"/>
      <w:marTop w:val="0"/>
      <w:marBottom w:val="0"/>
      <w:divBdr>
        <w:top w:val="none" w:sz="0" w:space="0" w:color="auto"/>
        <w:left w:val="none" w:sz="0" w:space="0" w:color="auto"/>
        <w:bottom w:val="none" w:sz="0" w:space="0" w:color="auto"/>
        <w:right w:val="none" w:sz="0" w:space="0" w:color="auto"/>
      </w:divBdr>
    </w:div>
    <w:div w:id="2015718595">
      <w:bodyDiv w:val="1"/>
      <w:marLeft w:val="0"/>
      <w:marRight w:val="0"/>
      <w:marTop w:val="0"/>
      <w:marBottom w:val="0"/>
      <w:divBdr>
        <w:top w:val="none" w:sz="0" w:space="0" w:color="auto"/>
        <w:left w:val="none" w:sz="0" w:space="0" w:color="auto"/>
        <w:bottom w:val="none" w:sz="0" w:space="0" w:color="auto"/>
        <w:right w:val="none" w:sz="0" w:space="0" w:color="auto"/>
      </w:divBdr>
    </w:div>
    <w:div w:id="2060395645">
      <w:bodyDiv w:val="1"/>
      <w:marLeft w:val="0"/>
      <w:marRight w:val="0"/>
      <w:marTop w:val="0"/>
      <w:marBottom w:val="0"/>
      <w:divBdr>
        <w:top w:val="none" w:sz="0" w:space="0" w:color="auto"/>
        <w:left w:val="none" w:sz="0" w:space="0" w:color="auto"/>
        <w:bottom w:val="none" w:sz="0" w:space="0" w:color="auto"/>
        <w:right w:val="none" w:sz="0" w:space="0" w:color="auto"/>
      </w:divBdr>
      <w:divsChild>
        <w:div w:id="1342006235">
          <w:marLeft w:val="0"/>
          <w:marRight w:val="0"/>
          <w:marTop w:val="0"/>
          <w:marBottom w:val="0"/>
          <w:divBdr>
            <w:top w:val="none" w:sz="0" w:space="0" w:color="auto"/>
            <w:left w:val="none" w:sz="0" w:space="0" w:color="auto"/>
            <w:bottom w:val="none" w:sz="0" w:space="0" w:color="auto"/>
            <w:right w:val="none" w:sz="0" w:space="0" w:color="auto"/>
          </w:divBdr>
          <w:divsChild>
            <w:div w:id="1381854778">
              <w:marLeft w:val="0"/>
              <w:marRight w:val="0"/>
              <w:marTop w:val="0"/>
              <w:marBottom w:val="0"/>
              <w:divBdr>
                <w:top w:val="none" w:sz="0" w:space="0" w:color="auto"/>
                <w:left w:val="none" w:sz="0" w:space="0" w:color="auto"/>
                <w:bottom w:val="none" w:sz="0" w:space="0" w:color="auto"/>
                <w:right w:val="none" w:sz="0" w:space="0" w:color="auto"/>
              </w:divBdr>
              <w:divsChild>
                <w:div w:id="213759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39502">
      <w:bodyDiv w:val="1"/>
      <w:marLeft w:val="0"/>
      <w:marRight w:val="0"/>
      <w:marTop w:val="0"/>
      <w:marBottom w:val="0"/>
      <w:divBdr>
        <w:top w:val="none" w:sz="0" w:space="0" w:color="auto"/>
        <w:left w:val="none" w:sz="0" w:space="0" w:color="auto"/>
        <w:bottom w:val="none" w:sz="0" w:space="0" w:color="auto"/>
        <w:right w:val="none" w:sz="0" w:space="0" w:color="auto"/>
      </w:divBdr>
    </w:div>
    <w:div w:id="2093312913">
      <w:bodyDiv w:val="1"/>
      <w:marLeft w:val="0"/>
      <w:marRight w:val="0"/>
      <w:marTop w:val="0"/>
      <w:marBottom w:val="0"/>
      <w:divBdr>
        <w:top w:val="none" w:sz="0" w:space="0" w:color="auto"/>
        <w:left w:val="none" w:sz="0" w:space="0" w:color="auto"/>
        <w:bottom w:val="none" w:sz="0" w:space="0" w:color="auto"/>
        <w:right w:val="none" w:sz="0" w:space="0" w:color="auto"/>
      </w:divBdr>
    </w:div>
    <w:div w:id="2140108411">
      <w:bodyDiv w:val="1"/>
      <w:marLeft w:val="0"/>
      <w:marRight w:val="0"/>
      <w:marTop w:val="0"/>
      <w:marBottom w:val="0"/>
      <w:divBdr>
        <w:top w:val="none" w:sz="0" w:space="0" w:color="auto"/>
        <w:left w:val="none" w:sz="0" w:space="0" w:color="auto"/>
        <w:bottom w:val="none" w:sz="0" w:space="0" w:color="auto"/>
        <w:right w:val="none" w:sz="0" w:space="0" w:color="auto"/>
      </w:divBdr>
    </w:div>
    <w:div w:id="2147162492">
      <w:bodyDiv w:val="1"/>
      <w:marLeft w:val="0"/>
      <w:marRight w:val="0"/>
      <w:marTop w:val="0"/>
      <w:marBottom w:val="0"/>
      <w:divBdr>
        <w:top w:val="none" w:sz="0" w:space="0" w:color="auto"/>
        <w:left w:val="none" w:sz="0" w:space="0" w:color="auto"/>
        <w:bottom w:val="none" w:sz="0" w:space="0" w:color="auto"/>
        <w:right w:val="none" w:sz="0" w:space="0" w:color="auto"/>
      </w:divBdr>
    </w:div>
    <w:div w:id="21473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foodqual.2025.105610" TargetMode="External"/><Relationship Id="rId18" Type="http://schemas.openxmlformats.org/officeDocument/2006/relationships/hyperlink" Target="https://doi.org/10.1016/j.aquaculture.2025.742126" TargetMode="External"/><Relationship Id="rId26" Type="http://schemas.openxmlformats.org/officeDocument/2006/relationships/hyperlink" Target="https://doi.org/10.1016/j.fufo.2024.100355" TargetMode="External"/><Relationship Id="rId3" Type="http://schemas.openxmlformats.org/officeDocument/2006/relationships/styles" Target="styles.xml"/><Relationship Id="rId21" Type="http://schemas.openxmlformats.org/officeDocument/2006/relationships/hyperlink" Target="https://doi.org/10.1016/j.jand.2024.04.015"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i.org/10.1016/j.foodqual.2025.105615" TargetMode="External"/><Relationship Id="rId17" Type="http://schemas.openxmlformats.org/officeDocument/2006/relationships/hyperlink" Target="https://doi.org/10.1016/j.sjme.2017.05.002" TargetMode="External"/><Relationship Id="rId25" Type="http://schemas.openxmlformats.org/officeDocument/2006/relationships/hyperlink" Target="https://doi.org/10.1016/j.foodres.2022.110975"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016/j.appet.2025.108005" TargetMode="External"/><Relationship Id="rId20" Type="http://schemas.openxmlformats.org/officeDocument/2006/relationships/hyperlink" Target="https://doi.org/10.1016/j.jafr.2025.102020"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ijgfs.2020.100273" TargetMode="External"/><Relationship Id="rId24" Type="http://schemas.openxmlformats.org/officeDocument/2006/relationships/hyperlink" Target="https://doi.org/10.1016/j.gaceta.2020.01.003"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016/j.eap.2025.05.035" TargetMode="External"/><Relationship Id="rId23" Type="http://schemas.openxmlformats.org/officeDocument/2006/relationships/hyperlink" Target="https://doi.org/10.1016/j.jafr.2024.101041" TargetMode="External"/><Relationship Id="rId28" Type="http://schemas.openxmlformats.org/officeDocument/2006/relationships/footer" Target="footer1.xml"/><Relationship Id="rId10" Type="http://schemas.openxmlformats.org/officeDocument/2006/relationships/hyperlink" Target="https://doi.org/10.1016/j.jff.2011.03.011" TargetMode="External"/><Relationship Id="rId19" Type="http://schemas.openxmlformats.org/officeDocument/2006/relationships/hyperlink" Target="https://doi.org/10.1016/j.fufo.2024.100405"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1016/j.jafr.2020.100076" TargetMode="External"/><Relationship Id="rId14" Type="http://schemas.openxmlformats.org/officeDocument/2006/relationships/hyperlink" Target="https://doi.org/10.1016/j.clrc.2025.100300" TargetMode="External"/><Relationship Id="rId22" Type="http://schemas.openxmlformats.org/officeDocument/2006/relationships/hyperlink" Target="https://doi.org/10.1016/j.jand.2024.04.015" TargetMode="External"/><Relationship Id="rId27" Type="http://schemas.openxmlformats.org/officeDocument/2006/relationships/header" Target="header1.xml"/><Relationship Id="rId30" Type="http://schemas.openxmlformats.org/officeDocument/2006/relationships/header" Target="header2.xml"/><Relationship Id="rId8" Type="http://schemas.openxmlformats.org/officeDocument/2006/relationships/hyperlink" Target="https://doi.org/10.1016/j.clrc.2024.100241"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journalbusinessentrepreneurial@gmail.com" TargetMode="External"/><Relationship Id="rId1" Type="http://schemas.openxmlformats.org/officeDocument/2006/relationships/hyperlink" Target="mailto:journalbusinessentrepreneurial@gmail.com"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mailto:amaldonadoc@uteq.edu.ec" TargetMode="External"/><Relationship Id="rId2" Type="http://schemas.openxmlformats.org/officeDocument/2006/relationships/hyperlink" Target="mailto:jmaldonado@uteq.edu.ec" TargetMode="External"/><Relationship Id="rId1" Type="http://schemas.openxmlformats.org/officeDocument/2006/relationships/hyperlink" Target="mailto:mbarzolaj@uteq.edu.ec" TargetMode="External"/><Relationship Id="rId4" Type="http://schemas.openxmlformats.org/officeDocument/2006/relationships/hyperlink" Target="mailto:ejumbof@uteq.edu.e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7A76C9EA2D17046AD13E3F83FEB2B68"/>
        <w:category>
          <w:name w:val="General"/>
          <w:gallery w:val="placeholder"/>
        </w:category>
        <w:types>
          <w:type w:val="bbPlcHdr"/>
        </w:types>
        <w:behaviors>
          <w:behavior w:val="content"/>
        </w:behaviors>
        <w:guid w:val="{135DD2B8-4B8E-FA45-872E-27543C0F3D70}"/>
      </w:docPartPr>
      <w:docPartBody>
        <w:p w:rsidR="00A068B0" w:rsidRDefault="00F42CBB" w:rsidP="00F42CBB">
          <w:pPr>
            <w:pStyle w:val="D7A76C9EA2D17046AD13E3F83FEB2B68"/>
          </w:pPr>
          <w:r w:rsidRPr="00126015">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ourier">
    <w:panose1 w:val="02070309020205020404"/>
    <w:charset w:val="00"/>
    <w:family w:val="modern"/>
    <w:pitch w:val="fixed"/>
    <w:sig w:usb0="00000003" w:usb1="00000000" w:usb2="00000000" w:usb3="00000000" w:csb0="00000001" w:csb1="00000000"/>
  </w:font>
  <w:font w:name="Droid Sans Fallback">
    <w:altName w:val="Times New Roman"/>
    <w:panose1 w:val="020B0604020202020204"/>
    <w:charset w:val="00"/>
    <w:family w:val="roman"/>
    <w:pitch w:val="default"/>
    <w:sig w:usb0="00000003" w:usb1="00000000" w:usb2="00000000" w:usb3="00000000" w:csb0="00000001" w:csb1="00000000"/>
  </w:font>
  <w:font w:name="FreeSans">
    <w:panose1 w:val="020B0604020202020204"/>
    <w:charset w:val="00"/>
    <w:family w:val="roman"/>
    <w:pitch w:val="default"/>
  </w:font>
  <w:font w:name="Gill Sans MT">
    <w:panose1 w:val="020B0502020104020203"/>
    <w:charset w:val="4D"/>
    <w:family w:val="swiss"/>
    <w:pitch w:val="variable"/>
    <w:sig w:usb0="00000003" w:usb1="00000000" w:usb2="00000000" w:usb3="00000000" w:csb0="00000003" w:csb1="00000000"/>
  </w:font>
  <w:font w:name="-webkit-standard">
    <w:panose1 w:val="020B0604020202020204"/>
    <w:charset w:val="00"/>
    <w:family w:val="roman"/>
    <w:pitch w:val="default"/>
  </w:font>
  <w:font w:name="Gill Sans">
    <w:panose1 w:val="020B0502020104020203"/>
    <w:charset w:val="B1"/>
    <w:family w:val="swiss"/>
    <w:pitch w:val="variable"/>
    <w:sig w:usb0="80000A67" w:usb1="00000000" w:usb2="00000000" w:usb3="00000000" w:csb0="000001F7"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692"/>
    <w:rsid w:val="00171BA3"/>
    <w:rsid w:val="001E693A"/>
    <w:rsid w:val="00380301"/>
    <w:rsid w:val="0039177C"/>
    <w:rsid w:val="00A068B0"/>
    <w:rsid w:val="00B00E19"/>
    <w:rsid w:val="00B75692"/>
    <w:rsid w:val="00BE0F67"/>
    <w:rsid w:val="00E15E3B"/>
    <w:rsid w:val="00F42CB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C" w:eastAsia="es-MX"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F42CBB"/>
    <w:rPr>
      <w:color w:val="808080"/>
    </w:rPr>
  </w:style>
  <w:style w:type="paragraph" w:customStyle="1" w:styleId="D7A76C9EA2D17046AD13E3F83FEB2B68">
    <w:name w:val="D7A76C9EA2D17046AD13E3F83FEB2B68"/>
    <w:rsid w:val="00F42C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Wil19</b:Tag>
    <b:SourceType>InternetSite</b:SourceType>
    <b:Guid>{AEEF3D90-8564-499D-A374-8441A9D9AB20}</b:Guid>
    <b:Author>
      <b:Author>
        <b:NameList>
          <b:Person>
            <b:Last>Crespo</b:Last>
            <b:First>William</b:First>
          </b:Person>
        </b:NameList>
      </b:Author>
    </b:Author>
    <b:Title>automatizacion industrial wordpress</b:Title>
    <b:ProductionCompany>paul </b:ProductionCompany>
    <b:YearAccessed>2019</b:YearAccessed>
    <b:MonthAccessed>08</b:MonthAccessed>
    <b:DayAccessed>17</b:DayAccessed>
    <b:URL>https://automatizacionindustrial.wordpress.com/2011/02/09/queeslaautomatizacionindustrial/</b:URL>
    <b:RefOrder>6</b:RefOrder>
  </b:Source>
  <b:Source>
    <b:Tag>smc19</b:Tag>
    <b:SourceType>InternetSite</b:SourceType>
    <b:Guid>{12874DB8-3782-4DE4-9786-20A1DB457050}</b:Guid>
    <b:Title>smctraining</b:Title>
    <b:ProductionCompany>paul</b:ProductionCompany>
    <b:Year>2019</b:Year>
    <b:Month>agosto</b:Month>
    <b:Day>18</b:Day>
    <b:URL>https://www.smctraining.com/webpage/indexpage/311/</b:URL>
    <b:RefOrder>7</b:RefOrder>
  </b:Source>
  <b:Source>
    <b:Tag>mic19</b:Tag>
    <b:SourceType>InternetSite</b:SourceType>
    <b:Guid>{CF9D9501-AD60-4608-8195-432D215CA917}</b:Guid>
    <b:Author>
      <b:Author>
        <b:NameList>
          <b:Person>
            <b:Last>michael</b:Last>
          </b:Person>
        </b:NameList>
      </b:Author>
    </b:Author>
    <b:Title>controlreal</b:Title>
    <b:ProductionCompany>paul</b:ProductionCompany>
    <b:Year>2019</b:Year>
    <b:Month>agosto</b:Month>
    <b:Day>18</b:Day>
    <b:URL>https://controlreal.com/es/diagramas-de-tuberias-e-instrumentacion-pid/</b:URL>
    <b:RefOrder>8</b:RefOrder>
  </b:Source>
  <b:Source>
    <b:Tag>Hel19</b:Tag>
    <b:SourceType>InternetSite</b:SourceType>
    <b:Guid>{AB4209DD-3316-491A-957D-7089FB95AD56}</b:Guid>
    <b:Author>
      <b:Author>
        <b:NameList>
          <b:Person>
            <b:Last>Corvo</b:Last>
            <b:First>Helmut</b:First>
            <b:Middle>Sy</b:Middle>
          </b:Person>
        </b:NameList>
      </b:Author>
    </b:Author>
    <b:Title>lifeder</b:Title>
    <b:ProductionCompany>paul</b:ProductionCompany>
    <b:Year>2019</b:Year>
    <b:Month>agosto</b:Month>
    <b:Day>18</b:Day>
    <b:URL>https://www.lifeder.com/cuello-de-botella/</b:URL>
    <b:RefOrder>9</b:RefOrder>
  </b:Source>
  <b:Source>
    <b:Tag>ALE19</b:Tag>
    <b:SourceType>InternetSite</b:SourceType>
    <b:Guid>{1E6D965C-BC6C-4A14-83BB-9A63BA956F9B}</b:Guid>
    <b:Author>
      <b:Author>
        <b:NameList>
          <b:Person>
            <b:Last>GONZÁLEZ</b:Last>
            <b:First>ALEJANDRO</b:First>
            <b:Middle>NIETO</b:Middle>
          </b:Person>
        </b:NameList>
      </b:Author>
    </b:Author>
    <b:Title>el blog salmon</b:Title>
    <b:ProductionCompany>paul</b:ProductionCompany>
    <b:Year>2019</b:Year>
    <b:Month>agosto</b:Month>
    <b:Day>18</b:Day>
    <b:URL>https://www.elblogsalmon.com/conceptos-de-economia/que-son-el-van-y-el-tir</b:URL>
    <b:RefOrder>10</b:RefOrder>
  </b:Source>
  <b:Source>
    <b:Tag>ana19</b:Tag>
    <b:SourceType>InternetSite</b:SourceType>
    <b:Guid>{38120629-3C0C-4F4B-93B5-3F488F8DA69B}</b:Guid>
    <b:Title>analisis foda</b:Title>
    <b:ProductionCompany>paul</b:ProductionCompany>
    <b:Year>2019</b:Year>
    <b:Month>agosto</b:Month>
    <b:Day>18</b:Day>
    <b:URL>https://www.analisisfoda.com/</b:URL>
    <b:RefOrder>11</b:RefOrder>
  </b:Source>
  <b:Source>
    <b:Tag>nic19</b:Tag>
    <b:SourceType>InternetSite</b:SourceType>
    <b:Guid>{D95ECCB9-1E5A-421B-936F-1AFEDF54525E}</b:Guid>
    <b:Title>ni.com</b:Title>
    <b:ProductionCompany>paul</b:ProductionCompany>
    <b:Year>2019</b:Year>
    <b:Month>agosto</b:Month>
    <b:Day>18</b:Day>
    <b:URL>http://www.ni.com/es-cr/innovations/white-papers/18/7-essential-features-of-labview-nxg-for-automated-test.html</b:URL>
    <b:RefOrder>12</b:RefOrder>
  </b:Source>
  <b:Source>
    <b:Tag>col19</b:Tag>
    <b:SourceType>InternetSite</b:SourceType>
    <b:Guid>{AB05CA1A-1281-42AC-9526-D29EAC8BA8F5}</b:Guid>
    <b:Title>colegasdefrikisdealcoy.blogspot.com</b:Title>
    <b:ProductionCompany>paul</b:ProductionCompany>
    <b:Year>2019</b:Year>
    <b:Month>agosto</b:Month>
    <b:Day>18</b:Day>
    <b:URL>http://colegasdefrikisdealcoy.blogspot.com/2012/06/festo-fluidsim-una-ayuda-para-la.html</b:URL>
    <b:RefOrder>13</b:RefOrder>
  </b:Source>
  <b:Source>
    <b:Tag>fle19</b:Tag>
    <b:SourceType>InternetSite</b:SourceType>
    <b:Guid>{C0B52735-BB46-42B8-ACBC-63C33F582AA1}</b:Guid>
    <b:Title>flexsim.com</b:Title>
    <b:ProductionCompany>paul</b:ProductionCompany>
    <b:Year>2019</b:Year>
    <b:Month>agosto</b:Month>
    <b:Day>18</b:Day>
    <b:URL>https://www.flexsim.com/es/</b:URL>
    <b:RefOrder>14</b:RefOrder>
  </b:Source>
  <b:Source>
    <b:Tag>car19</b:Tag>
    <b:SourceType>InternetSite</b:SourceType>
    <b:Guid>{41B60560-122F-47A9-B6A9-7B08D134D09A}</b:Guid>
    <b:Title>carbotecnia.info</b:Title>
    <b:ProductionCompany>paul</b:ProductionCompany>
    <b:Year>2019</b:Year>
    <b:Month>agosto</b:Month>
    <b:Day>18</b:Day>
    <b:URL>https://www.carbotecnia.info/encyclopedia/proceso-de-purificacion-de-agua-potable/</b:URL>
    <b:RefOrder>15</b:RefOrder>
  </b:Source>
  <b:Source>
    <b:Tag>EEd19</b:Tag>
    <b:SourceType>InternetSite</b:SourceType>
    <b:Guid>{65E7ADBD-DA31-44D6-8903-ECC622C5CFAD}</b:Guid>
    <b:Title>nuevatribuna</b:Title>
    <b:Year>2019</b:Year>
    <b:Month>junio</b:Month>
    <b:Day>09</b:Day>
    <b:URL>https://www.nuevatribuna.es/articulo/medio-ambiente/el-agua-embotellada-el-gran-negocio/20110118045144040036.html</b:URL>
    <b:Author>
      <b:Author>
        <b:NameList>
          <b:Person>
            <b:Last>E</b:Last>
            <b:First>Edmundo</b:First>
            <b:Middle>Fayanás Escuer</b:Middle>
          </b:Person>
        </b:NameList>
      </b:Author>
    </b:Author>
    <b:ProductionCompany>paul solorzano</b:ProductionCompany>
    <b:RefOrder>16</b:RefOrder>
  </b:Source>
  <b:Source>
    <b:Tag>Wil11</b:Tag>
    <b:SourceType>InternetSite</b:SourceType>
    <b:Guid>{F19C525E-90BF-4504-B77B-1E8CBAA05B72}</b:Guid>
    <b:Author>
      <b:Author>
        <b:NameList>
          <b:Person>
            <b:Last>Crespo</b:Last>
            <b:First>William</b:First>
          </b:Person>
        </b:NameList>
      </b:Author>
    </b:Author>
    <b:Title>wordpress</b:Title>
    <b:Year>2011</b:Year>
    <b:Month>Febrero</b:Month>
    <b:Day>9</b:Day>
    <b:YearAccessed>2018</b:YearAccessed>
    <b:MonthAccessed>Noviembre</b:MonthAccessed>
    <b:DayAccessed>25</b:DayAccessed>
    <b:URL>https://automatizacionindustrial.wordpress.com/2011/02/09/queeslaautomatizacionindustrial/</b:URL>
    <b:RefOrder>17</b:RefOrder>
  </b:Source>
  <b:Source>
    <b:Tag>scm19</b:Tag>
    <b:SourceType>InternetSite</b:SourceType>
    <b:Guid>{D63A272B-A031-4066-9C9F-5490D21CD84F}</b:Guid>
    <b:Author>
      <b:Author>
        <b:NameList>
          <b:Person>
            <b:Last>scmgroup</b:Last>
          </b:Person>
        </b:NameList>
      </b:Author>
    </b:Author>
    <b:Title>Productos</b:Title>
    <b:YearAccessed>2019</b:YearAccessed>
    <b:MonthAccessed>Enero</b:MonthAccessed>
    <b:DayAccessed>21</b:DayAccessed>
    <b:URL>https://www.scmgroup.com/es_MX/scmwood/products/maquinas-para-carpinteria.c884/cepilladoras.892/l-invincibile-f-7.786</b:URL>
    <b:RefOrder>18</b:RefOrder>
  </b:Source>
  <b:Source>
    <b:Tag>Hur12</b:Tag>
    <b:SourceType>Book</b:SourceType>
    <b:Guid>{4000F75A-1537-491D-A893-34FD79F2124E}</b:Guid>
    <b:Title>Principio de administración</b:Title>
    <b:Year>2012</b:Year>
    <b:City>Bogota</b:City>
    <b:Publisher>ITM</b:Publisher>
    <b:Author>
      <b:Author>
        <b:NameList>
          <b:Person>
            <b:Last>Hurtado Cuartas</b:Last>
            <b:First>D</b:First>
          </b:Person>
        </b:NameList>
      </b:Author>
    </b:Author>
    <b:RefOrder>19</b:RefOrder>
  </b:Source>
  <b:Source>
    <b:Tag>Jac11</b:Tag>
    <b:SourceType>Book</b:SourceType>
    <b:Guid>{FCB9F3D1-24DA-45CD-B251-84F64ABDF8C0}</b:Guid>
    <b:Title>Administración de Pymes: Emprender, dirigir y desarrollar empresas</b:Title>
    <b:Year>2011</b:Year>
    <b:City>México D,F</b:City>
    <b:Publisher>Pearson Education</b:Publisher>
    <b:Author>
      <b:Author>
        <b:NameList>
          <b:Person>
            <b:Last>Jacques Filion</b:Last>
            <b:First>L</b:First>
          </b:Person>
          <b:Person>
            <b:Last>Cisneros Martínez</b:Last>
            <b:Middle>F</b:Middle>
            <b:First>L</b:First>
          </b:Person>
          <b:Person>
            <b:Last>Mejía Morales</b:Last>
            <b:Middle>H</b:Middle>
            <b:First>J</b:First>
          </b:Person>
        </b:NameList>
      </b:Author>
    </b:Author>
    <b:RefOrder>20</b:RefOrder>
  </b:Source>
  <b:Source>
    <b:Tag>Med14</b:Tag>
    <b:SourceType>Book</b:SourceType>
    <b:Guid>{2FF74983-6997-4BE5-A910-2015F86E9050}</b:Guid>
    <b:Title>El emprendimiento y crecimiento de las Pymes</b:Title>
    <b:Year>2014</b:Year>
    <b:City>Barcelona</b:City>
    <b:Publisher>Acta Universitaria: Multidisciplinary Scientific Jounar</b:Publisher>
    <b:Author>
      <b:Author>
        <b:NameList>
          <b:Person>
            <b:Last>Medina Sánchez </b:Last>
            <b:First>R</b:First>
          </b:Person>
          <b:Person>
            <b:Last>López Salazar</b:Last>
            <b:First>A</b:First>
          </b:Person>
          <b:Person>
            <b:Last>Contreras</b:Last>
            <b:Middle>R</b:Middle>
            <b:First>S</b:First>
          </b:Person>
        </b:NameList>
      </b:Author>
    </b:Author>
    <b:RefOrder>21</b:RefOrder>
  </b:Source>
  <b:Source>
    <b:Tag>Mar121</b:Tag>
    <b:SourceType>Book</b:SourceType>
    <b:Guid>{ED781E4D-5652-46F8-A4E5-F2B3793B5DEA}</b:Guid>
    <b:Title>Administración: teoría, procesos, áreas funcionales y estrategias de competitividad</b:Title>
    <b:Year>2012</b:Year>
    <b:Author>
      <b:Author>
        <b:NameList>
          <b:Person>
            <b:Last>Mares Chacón </b:Last>
            <b:First>J</b:First>
          </b:Person>
        </b:NameList>
      </b:Author>
    </b:Author>
    <b:City>México D,F</b:City>
    <b:Publisher>Mc Graw Hill Education</b:Publisher>
    <b:RefOrder>22</b:RefOrder>
  </b:Source>
  <b:Source>
    <b:Tag>Cha091</b:Tag>
    <b:SourceType>Book</b:SourceType>
    <b:Guid>{E9477ECC-926C-4A30-8F4F-B1688341600A}</b:Guid>
    <b:Title>Administración estratégica</b:Title>
    <b:Year>2009</b:Year>
    <b:City>México D,F</b:City>
    <b:Publisher>Mc Graw Hill</b:Publisher>
    <b:Author>
      <b:Author>
        <b:NameList>
          <b:Person>
            <b:Last>Charles W</b:Last>
            <b:Middle>H</b:Middle>
            <b:First>L</b:First>
          </b:Person>
          <b:Person>
            <b:Last>Gareth</b:Last>
            <b:Middle>J</b:Middle>
            <b:First>R</b:First>
          </b:Person>
        </b:NameList>
      </b:Author>
    </b:Author>
    <b:RefOrder>23</b:RefOrder>
  </b:Source>
  <b:Source>
    <b:Tag>Med142</b:Tag>
    <b:SourceType>Book</b:SourceType>
    <b:Guid>{FAB26445-EB7D-409B-8765-15881971B79C}</b:Guid>
    <b:Title>El emprendimiento y crecimiento de las Pymes</b:Title>
    <b:Year>2014</b:Year>
    <b:City>Barcelona</b:City>
    <b:Publisher>Jounar Sientific</b:Publisher>
    <b:Author>
      <b:Author>
        <b:NameList>
          <b:Person>
            <b:Last>Medina Sanchéz</b:Last>
            <b:First>R</b:First>
          </b:Person>
          <b:Person>
            <b:Last>López Salazar</b:Last>
            <b:First>A</b:First>
          </b:Person>
          <b:Person>
            <b:Last>Contreras S</b:Last>
            <b:First>R</b:First>
          </b:Person>
        </b:NameList>
      </b:Author>
    </b:Author>
    <b:RefOrder>24</b:RefOrder>
  </b:Source>
  <b:Source>
    <b:Tag>Roj10</b:Tag>
    <b:SourceType>Book</b:SourceType>
    <b:Guid>{28C93A68-B106-4298-B082-46F039F9FA98}</b:Guid>
    <b:Title>Administración de pequeñas emrpesas</b:Title>
    <b:Year>2010</b:Year>
    <b:City>México D,F</b:City>
    <b:Publisher>Mc Graw Hill Educación</b:Publisher>
    <b:Author>
      <b:Author>
        <b:NameList>
          <b:Person>
            <b:Last>Rojas</b:Last>
            <b:First>Anzola</b:First>
          </b:Person>
        </b:NameList>
      </b:Author>
    </b:Author>
    <b:Edition>Tercera</b:Edition>
    <b:RefOrder>25</b:RefOrder>
  </b:Source>
  <b:Source>
    <b:Tag>Whe07</b:Tag>
    <b:SourceType>Book</b:SourceType>
    <b:Guid>{C8BC0601-36FE-41D3-88CA-0CA4263D3EA0}</b:Guid>
    <b:Title>Administración estratégica y política de negocios: conceptos y casos. </b:Title>
    <b:Year>2007</b:Year>
    <b:City>Naucalpan de Juárez</b:City>
    <b:Publisher>Pearson Education</b:Publisher>
    <b:Author>
      <b:Author>
        <b:NameList>
          <b:Person>
            <b:Last>Wheelen T</b:Last>
            <b:First>L</b:First>
          </b:Person>
          <b:Person>
            <b:Last>Hunger</b:Last>
            <b:Middle>D</b:Middle>
            <b:First>J</b:First>
          </b:Person>
        </b:NameList>
      </b:Author>
    </b:Author>
    <b:RefOrder>26</b:RefOrder>
  </b:Source>
  <b:Source>
    <b:Tag>Rod151</b:Tag>
    <b:SourceType>Book</b:SourceType>
    <b:Guid>{1EC67162-16B4-4EFE-B4F3-34DCC0FE0B1E}</b:Guid>
    <b:Title>Teorías y ciencias administrativa. </b:Title>
    <b:Year>2015</b:Year>
    <b:City>México</b:City>
    <b:Author>
      <b:Author>
        <b:NameList>
          <b:Person>
            <b:Last>Rodríguez T</b:Last>
          </b:Person>
        </b:NameList>
      </b:Author>
    </b:Author>
    <b:RefOrder>27</b:RefOrder>
  </b:Source>
  <b:Source>
    <b:Tag>Jac111</b:Tag>
    <b:SourceType>Book</b:SourceType>
    <b:Guid>{08F6BAB5-655B-4078-902B-ACB2C93A4121}</b:Guid>
    <b:Title>Administración de Pymes: Emprender, dirigir, y desarrollar empresas</b:Title>
    <b:Year>2011</b:Year>
    <b:City>México D,F</b:City>
    <b:Publisher>Pearson Education</b:Publisher>
    <b:Author>
      <b:Author>
        <b:NameList>
          <b:Person>
            <b:Last>Jacques Fillon </b:Last>
            <b:First>L</b:First>
          </b:Person>
          <b:Person>
            <b:Last>Cisneros Martínez </b:Last>
            <b:Middle>F</b:Middle>
            <b:First>L</b:First>
          </b:Person>
          <b:Person>
            <b:Last>Mejía Morales</b:Last>
            <b:First>j</b:First>
          </b:Person>
        </b:NameList>
      </b:Author>
    </b:Author>
    <b:RefOrder>28</b:RefOrder>
  </b:Source>
  <b:Source>
    <b:Tag>Pet12</b:Tag>
    <b:SourceType>Book</b:SourceType>
    <b:Guid>{D5155FAB-9538-4684-9379-00C64392CFF5}</b:Guid>
    <b:Title>Administración estratégica</b:Title>
    <b:Year>2012</b:Year>
    <b:Author>
      <b:Author>
        <b:NameList>
          <b:Person>
            <b:Last>Petearaf</b:Last>
            <b:Middle>I</b:Middle>
            <b:First>T</b:First>
          </b:Person>
          <b:Person>
            <b:Last>Strickland</b:Last>
            <b:Middle>I</b:Middle>
            <b:First>G</b:First>
          </b:Person>
        </b:NameList>
      </b:Author>
    </b:Author>
    <b:City>México D.F</b:City>
    <b:Publisher>Mc Graw Hill Education</b:Publisher>
    <b:RefOrder>29</b:RefOrder>
  </b:Source>
  <b:Source>
    <b:Tag>Ort14</b:Tag>
    <b:SourceType>Book</b:SourceType>
    <b:Guid>{00E927CA-D68B-4207-85EC-75938F893DC3}</b:Guid>
    <b:Title>Efectividad administrativa</b:Title>
    <b:Year>2014</b:Year>
    <b:City>Barcelona</b:City>
    <b:Publisher>Ecoe ediciones</b:Publisher>
    <b:Author>
      <b:Author>
        <b:NameList>
          <b:Person>
            <b:Last>Ortiz</b:Last>
            <b:First>A</b:First>
          </b:Person>
        </b:NameList>
      </b:Author>
    </b:Author>
    <b:RefOrder>30</b:RefOrder>
  </b:Source>
  <b:Source>
    <b:Tag>Hit09</b:Tag>
    <b:SourceType>Book</b:SourceType>
    <b:Guid>{A5B1DB1E-6F9C-435D-A1A7-73481EEB79E3}</b:Guid>
    <b:Title>Administración Estratégica: Competitividad y Globalización. Conceptos y Casos</b:Title>
    <b:Year>2009</b:Year>
    <b:City>México</b:City>
    <b:Publisher>Cosegraf</b:Publisher>
    <b:Edition>7a. edición</b:Edition>
    <b:Pages>139-152</b:Pages>
    <b:Author>
      <b:Author>
        <b:NameList>
          <b:Person>
            <b:Last>Hitt</b:Last>
            <b:Middle>A.</b:Middle>
            <b:First>Michael</b:First>
          </b:Person>
          <b:Person>
            <b:Last>Ireland</b:Last>
            <b:Middle> Duane</b:Middle>
            <b:First>R.</b:First>
          </b:Person>
          <b:Person>
            <b:Last>Hoskisson</b:Last>
            <b:Middle>E.</b:Middle>
            <b:First>Robert</b:First>
          </b:Person>
        </b:NameList>
      </b:Author>
    </b:Author>
    <b:RefOrder>31</b:RefOrder>
  </b:Source>
  <b:Source>
    <b:Tag>Des11</b:Tag>
    <b:SourceType>Book</b:SourceType>
    <b:Guid>{B3DCF8FA-F503-4187-9DAC-B5E32062CE49}</b:Guid>
    <b:Title>Administración estratégica: textos y casos</b:Title>
    <b:Year>2011</b:Year>
    <b:City>México D,F</b:City>
    <b:Publisher>Mc Graw Hill Education</b:Publisher>
    <b:Author>
      <b:Author>
        <b:NameList>
          <b:Person>
            <b:Last>Dess Lumpkin</b:Last>
            <b:First>E</b:First>
          </b:Person>
        </b:NameList>
      </b:Author>
    </b:Author>
    <b:Edition>Quinta</b:Edition>
    <b:RefOrder>32</b:RefOrder>
  </b:Source>
  <b:Source>
    <b:Tag>Ben14</b:Tag>
    <b:SourceType>Book</b:SourceType>
    <b:Guid>{9F3344F7-C256-4B77-A1F2-2AC18A5CAF08}</b:Guid>
    <b:Title>Administración</b:Title>
    <b:Year>2014</b:Year>
    <b:City>México D.F</b:City>
    <b:Publisher>Mc Graw Hill Education</b:Publisher>
    <b:Author>
      <b:Author>
        <b:NameList>
          <b:Person>
            <b:Last>Benavides Pañada</b:Last>
            <b:Middle>J</b:Middle>
            <b:First>R</b:First>
          </b:Person>
        </b:NameList>
      </b:Author>
    </b:Author>
    <b:Edition>Segunda</b:Edition>
    <b:RefOrder>33</b:RefOrder>
  </b:Source>
  <b:Source>
    <b:Tag>Álv171</b:Tag>
    <b:SourceType>JournalArticle</b:SourceType>
    <b:Guid>{E0454A55-0B5A-4BDB-AE33-05E8DC3C8FDA}</b:Guid>
    <b:Title>Crecimiento y estallido de la burbuja inmobiliaria en España: causas y consecuencias</b:Title>
    <b:JournalName>Cuadernos del Tomás</b:JournalName>
    <b:Year>2017</b:Year>
    <b:Pages>17-34</b:Pages>
    <b:Author>
      <b:Author>
        <b:NameList>
          <b:Person>
            <b:Last>Álvarez</b:Last>
            <b:First>Javier</b:First>
          </b:Person>
        </b:NameList>
      </b:Author>
    </b:Author>
    <b:Issue>9</b:Issue>
    <b:StandardNumber> ISSN: 1889-5328</b:StandardNumber>
    <b:URL>https://dialnet.unirioja.es/servlet/articulo?codigo=6245302</b:URL>
    <b:RefOrder>34</b:RefOrder>
  </b:Source>
  <b:Source>
    <b:Tag>Cif20</b:Tag>
    <b:SourceType>JournalArticle</b:SourceType>
    <b:Guid>{A560117D-F2FA-48A2-82C9-10E4472F6BC6}</b:Guid>
    <b:Title>Crisis del coronavirus: impacto y medidas económicas en Europa y en el mundo</b:Title>
    <b:JournalName>Espaço e Economia</b:JournalName>
    <b:Year>2020</b:Year>
    <b:Pages>En línea</b:Pages>
    <b:Author>
      <b:Author>
        <b:NameList>
          <b:Person>
            <b:Last>Cifuentes</b:Last>
            <b:First>Javier</b:First>
          </b:Person>
        </b:NameList>
      </b:Author>
    </b:Author>
    <b:Issue>18</b:Issue>
    <b:StandardNumber>ISSN: 2317-7837</b:StandardNumber>
    <b:URL> http://journals.openedition.org/espacoeconomia/12874</b:URL>
    <b:DOI>doi.org/10.4000/espacoeconomia.12874</b:DOI>
    <b:RefOrder>35</b:RefOrder>
  </b:Source>
  <b:Source>
    <b:Tag>Ban21</b:Tag>
    <b:SourceType>InternetSite</b:SourceType>
    <b:Guid>{84B182D2-7193-4671-A5ED-1AA87711A6CB}</b:Guid>
    <b:Title>La Pandemia Incidió en el crecimiento 2020: La economía ecuatoriana decreció 7,8%</b:Title>
    <b:Year>2021</b:Year>
    <b:Author>
      <b:Author>
        <b:Corporate>Banco Central del Ecuador</b:Corporate>
      </b:Author>
    </b:Author>
    <b:Month>Marzo</b:Month>
    <b:Day>31</b:Day>
    <b:URL>https://www.bce.fin.ec/index.php/boletines-de-prensa-archivo/item/1421-la-pandemia-incidio-en-el-crecimiento-2020-la-economia-ecuatoriana-decrecio-7-8</b:URL>
    <b:InternetSiteTitle>Banco Central del Ecuador</b:InternetSiteTitle>
    <b:RefOrder>36</b:RefOrder>
  </b:Source>
  <b:Source>
    <b:Tag>Vel</b:Tag>
    <b:SourceType>JournalArticle</b:SourceType>
    <b:Guid>{D32B2D12-C90E-44B8-903C-7A0D04A5C6EE}</b:Guid>
    <b:Author>
      <b:Author>
        <b:NameList>
          <b:Person>
            <b:Last>Velásquez Gómez</b:Last>
            <b:First>MBA.</b:First>
            <b:Middle>- Ing. Verónica Ponce Álava, Mgs. - Ing. Mauricio Franco</b:Middle>
          </b:Person>
        </b:NameList>
      </b:Author>
    </b:Author>
    <b:Title>a Gestión Administrativa y Financiera, Una Perspectiva desde los Supermercados del Cantón Quevedo</b:Title>
    <b:JournalName>Revista Empresarial, ICE -FEE-UCSG</b:JournalName>
    <b:Year>2016</b:Year>
    <b:Pages>15-20</b:Pages>
    <b:StandardNumber>1390-3748</b:StandardNumber>
    <b:YearAccessed>2021</b:YearAccessed>
    <b:MonthAccessed>ENERO</b:MonthAccessed>
    <b:URL>https://dialnet.unirioja.es/servlet/articulo?codigo=5603313</b:URL>
    <b:RefOrder>37</b:RefOrder>
  </b:Source>
  <b:Source>
    <b:Tag>20ht</b:Tag>
    <b:SourceType>JournalArticle</b:SourceType>
    <b:Guid>{5EDFE6E8-B4D1-4717-8D7A-C955A156FF02}</b:Guid>
    <b:YearAccessed>2021</b:YearAccessed>
    <b:URL>https://dialnet.unirioja.es/servlet/articulo?codigo=6174482</b:URL>
    <b:Title>La Gestion financiera aplicada a las organizaciones</b:Title>
    <b:JournalName>Dominio de las Ciencias</b:JournalName>
    <b:Year>2017</b:Year>
    <b:Pages>220-231</b:Pages>
    <b:Author>
      <b:Author>
        <b:NameList>
          <b:Person>
            <b:Last>Cabrera</b:Last>
            <b:First>C</b:First>
          </b:Person>
          <b:Person>
            <b:Last>Fuentes</b:Last>
            <b:First>M</b:First>
          </b:Person>
          <b:Person>
            <b:Last>Cerezo</b:Last>
            <b:First>G</b:First>
          </b:Person>
        </b:NameList>
      </b:Author>
    </b:Author>
    <b:StandardNumber>2477-8818</b:StandardNumber>
    <b:MonthAccessed>enero</b:MonthAccessed>
    <b:RefOrder>38</b:RefOrder>
  </b:Source>
  <b:Source>
    <b:Tag>Gar19</b:Tag>
    <b:SourceType>JournalArticle</b:SourceType>
    <b:Guid>{D1C492C6-4E97-4F2C-88C3-2864FBAD1B69}</b:Guid>
    <b:Author>
      <b:Author>
        <b:NameList>
          <b:Person>
            <b:Last>García</b:Last>
            <b:First>Ximena</b:First>
          </b:Person>
          <b:Person>
            <b:Last>Galarza</b:Last>
            <b:First>Cynthia</b:First>
          </b:Person>
          <b:Person>
            <b:Last>Grijalva</b:Last>
            <b:First>Gabriela</b:First>
          </b:Person>
        </b:NameList>
      </b:Author>
    </b:Author>
    <b:Title>Control	interno	alagestióndecréditosycobranzasenempresascomercialesminoristas en	el	Ecuador1</b:Title>
    <b:JournalName>ESPIRALES Revista de Investigación, Formación y Desarrollo: Generando Productividad Institucional</b:JournalName>
    <b:Year>2019</b:Year>
    <b:Pages>15 - 27</b:Pages>
    <b:StandardNumber>1390-9789</b:StandardNumber>
    <b:YearAccessed>2021</b:YearAccessed>
    <b:MonthAccessed>ENERO</b:MonthAccessed>
    <b:URL>https://www.revistaespirales.com/index.php/es/article/view/456/395</b:URL>
    <b:RefOrder>39</b:RefOrder>
  </b:Source>
  <b:Source>
    <b:Tag>Jua17</b:Tag>
    <b:SourceType>JournalArticle</b:SourceType>
    <b:Guid>{4CC37563-A2CF-4DCF-A9E0-5A9EE31D01CE}</b:Guid>
    <b:Author>
      <b:Author>
        <b:NameList>
          <b:Person>
            <b:Last>García</b:Last>
            <b:First>J</b:First>
          </b:Person>
          <b:Person>
            <b:Last>Galarza</b:Last>
          </b:Person>
          <b:Person>
            <b:Last>Altamirano</b:Last>
            <b:First>A</b:First>
          </b:Person>
        </b:NameList>
      </b:Author>
    </b:Author>
    <b:Title>Importancia de la administración eficiente del capital de trabajo en las Pymes</b:Title>
    <b:JournalName>Revista Ciencia UNEMI</b:JournalName>
    <b:Year>2017</b:Year>
    <b:Pages>30 - 39</b:Pages>
    <b:StandardNumber>2528-7737</b:StandardNumber>
    <b:YearAccessed>2021</b:YearAccessed>
    <b:MonthAccessed>ENERO</b:MonthAccessed>
    <b:URL>http://ojs.unemi.edu.ec/index.php/cienciaunemi/article/view/495#:~:text=En%20este%20trabajo%20se%20analiza,con%20normalidad%20sus%20actividades%20operativas.</b:URL>
    <b:RefOrder>40</b:RefOrder>
  </b:Source>
  <b:Source>
    <b:Tag>Her16</b:Tag>
    <b:SourceType>JournalArticle</b:SourceType>
    <b:Guid>{132BDC4B-EDB2-4FE3-A93D-98C010D8453B}</b:Guid>
    <b:Title>RAZONES FINANCIERAS DE LIQUIDEZ EN LA GESTIÓN EMPRESARIAL PARA TOMA DE DECISIONES</b:Title>
    <b:JournalName>Quipukamayoc</b:JournalName>
    <b:Year>2016</b:Year>
    <b:Pages>153 - 162</b:Pages>
    <b:Author>
      <b:Author>
        <b:NameList>
          <b:Person>
            <b:Last>Herrera Freire</b:Last>
            <b:First>A.,</b:First>
            <b:Middle>Betancourt Gonzaga, V.,Herrera Freire, A., Vega Rodríguez, S., &amp; Vivanco Granda, E.</b:Middle>
          </b:Person>
        </b:NameList>
      </b:Author>
    </b:Author>
    <b:StandardNumber>1609-8196</b:StandardNumber>
    <b:YearAccessed>2021</b:YearAccessed>
    <b:DOI>https://doi.org/10.15381/quipu.v24i46.13249</b:DOI>
    <b:MonthAccessed>ENERO</b:MonthAccessed>
    <b:RefOrder>41</b:RefOrder>
  </b:Source>
  <b:Source>
    <b:Tag>Rom181</b:Tag>
    <b:SourceType>BookSection</b:SourceType>
    <b:Guid>{1480CEF1-3FDA-414F-90E2-155B59D5C133}</b:Guid>
    <b:Title>Estados Financieros Basicos</b:Title>
    <b:Year>2018</b:Year>
    <b:City>Mexico</b:City>
    <b:Publisher>Ediciones Fiscales ISEF</b:Publisher>
    <b:YearAccessed>2021</b:YearAccessed>
    <b:MonthAccessed>enero</b:MonthAccessed>
    <b:URL>https://books.google.com.ec/books?id=V2dNDwAAQBAJ&amp;printsec=frontcover#v=onepage&amp;q&amp;f=false</b:URL>
    <b:Author>
      <b:Author>
        <b:NameList>
          <b:Person>
            <b:Last>Roman</b:Last>
            <b:First>Carlos</b:First>
            <b:Middle>Fuentes</b:Middle>
          </b:Person>
        </b:NameList>
      </b:Author>
      <b:BookAuthor>
        <b:NameList>
          <b:Person>
            <b:Last>Carlos</b:Last>
            <b:First>Roman.</b:First>
            <b:Middle>Fuentes</b:Middle>
          </b:Person>
        </b:NameList>
      </b:BookAuthor>
    </b:Author>
    <b:BookTitle>Estados Financieros Basicos</b:BookTitle>
    <b:ShortTitle>978-607-406-905-1</b:ShortTitle>
    <b:RefOrder>42</b:RefOrder>
  </b:Source>
  <b:Source>
    <b:Tag>Per16</b:Tag>
    <b:SourceType>JournalArticle</b:SourceType>
    <b:Guid>{CBE061DA-BFA4-4C07-B808-9592180E3903}</b:Guid>
    <b:Title>Estados financieros previsionales como parte integrante de un conjunto completo de estados financieros en ambiente NIIF. Una propuesta en el marco de la lógica difusa</b:Title>
    <b:Year>2016</b:Year>
    <b:Pages>113-141</b:Pages>
    <b:Author>
      <b:Author>
        <b:NameList>
          <b:Person>
            <b:Last>Perea M.</b:Last>
            <b:First>Sandra</b:First>
            <b:Middle>P.</b:Middle>
          </b:Person>
          <b:Person>
            <b:Last>Castellanos S.</b:Last>
            <b:First>Heiberg</b:First>
            <b:Middle>A.</b:Middle>
          </b:Person>
          <b:Person>
            <b:Last>Valderrama B.</b:Last>
            <b:First>Yosman</b:First>
            <b:Middle>J</b:Middle>
          </b:Person>
        </b:NameList>
      </b:Author>
    </b:Author>
    <b:JournalName>Actualidad Contable Faces</b:JournalName>
    <b:YearAccessed>2021</b:YearAccessed>
    <b:StandardNumber>1316-8533</b:StandardNumber>
    <b:MonthAccessed>enero</b:MonthAccessed>
    <b:URL>https://www.redalyc.org/articulo.oa?id=25744733006</b:URL>
    <b:RefOrder>43</b:RefOrder>
  </b:Source>
  <b:Source>
    <b:Tag>Car181</b:Tag>
    <b:SourceType>JournalArticle</b:SourceType>
    <b:Guid>{7A04D860-80D0-4E35-9C9E-6FE4C84584C9}</b:Guid>
    <b:Title>IMPACTO EN  LAS PYMES DE LAS POLÍTICAS CONTABLES. CAMBIOS EN ESTIMACIONES CONTABLES Y CORRECCIÓN DE ERRORES</b:Title>
    <b:JournalName>Revista Un Minuto -PERSPECTIVAS</b:JournalName>
    <b:Year>2018</b:Year>
    <b:Pages>30 - 38</b:Pages>
    <b:Author>
      <b:Author>
        <b:NameList>
          <b:Person>
            <b:Last>Caro</b:Last>
            <b:First>Vargas</b:First>
            <b:Middle>Gustavo</b:Middle>
          </b:Person>
        </b:NameList>
      </b:Author>
    </b:Author>
    <b:StandardNumber>2619-1687</b:StandardNumber>
    <b:YearAccessed>2021</b:YearAccessed>
    <b:MonthAccessed>enero</b:MonthAccessed>
    <b:URL>https://revistas.uniminuto.edu/index.php/Pers/article/view/1786</b:URL>
    <b:RefOrder>44</b:RefOrder>
  </b:Source>
  <b:Source>
    <b:Tag>Gam171</b:Tag>
    <b:SourceType>JournalArticle</b:SourceType>
    <b:Guid>{6E6C7E31-0D34-431B-B29D-68338D523D51}</b:Guid>
    <b:Title>AUDITORÍ­A FINANCIERA EN EL SECTOR COMERCIAL Y SU INCIDENCIA EN LA TOMA DE DECISIONES</b:Title>
    <b:JournalName>Revista Publicando</b:JournalName>
    <b:Year>2017</b:Year>
    <b:Pages>776-789</b:Pages>
    <b:Author>
      <b:Author>
        <b:NameList>
          <b:Person>
            <b:Last>Gamboa</b:Last>
            <b:First>J</b:First>
          </b:Person>
          <b:Person>
            <b:Last>Ortega</b:Last>
            <b:First>J</b:First>
          </b:Person>
          <b:Person>
            <b:Last>Valderrama</b:Last>
            <b:First>E</b:First>
          </b:Person>
          <b:Person>
            <b:Last>Ramón</b:Last>
            <b:First>S</b:First>
          </b:Person>
        </b:NameList>
      </b:Author>
    </b:Author>
    <b:StandardNumber>1390-9304</b:StandardNumber>
    <b:YearAccessed>2021</b:YearAccessed>
    <b:MonthAccessed>enero</b:MonthAccessed>
    <b:URL>https://revistapublicando.org/revista/index.php/crv/article/view/733</b:URL>
    <b:RefOrder>45</b:RefOrder>
  </b:Source>
  <b:Source>
    <b:Tag>Gus17</b:Tag>
    <b:SourceType>JournalArticle</b:SourceType>
    <b:Guid>{71ACE75A-3B45-4991-A4B0-37E054939D34}</b:Guid>
    <b:Title>Reflexiones sobre el estado de flujo de efectivo e ideas para su presentación por el método directo</b:Title>
    <b:JournalName>Ciencias Económicas</b:JournalName>
    <b:Year>2017</b:Year>
    <b:Pages>91 -121</b:Pages>
    <b:Author>
      <b:Author>
        <b:NameList>
          <b:Person>
            <b:Last>Rondi</b:Last>
            <b:First>G</b:First>
          </b:Person>
          <b:Person>
            <b:Last>Casal</b:Last>
            <b:First>M</b:First>
          </b:Person>
          <b:Person>
            <b:Last>Galante</b:Last>
            <b:First>M</b:First>
          </b:Person>
          <b:Person>
            <b:Last>Gómez</b:Last>
            <b:First>M</b:First>
          </b:Person>
        </b:NameList>
      </b:Author>
    </b:Author>
    <b:StandardNumber>2362-552X</b:StandardNumber>
    <b:URL>https://dialnet.unirioja.es/servlet/articulo?codigo=6213243</b:URL>
    <b:RefOrder>46</b:RefOrder>
  </b:Source>
  <b:Source>
    <b:Tag>Cat121</b:Tag>
    <b:SourceType>BookSection</b:SourceType>
    <b:Guid>{2A5D41D7-B76A-4C36-9BC3-C137D45D2022}</b:Guid>
    <b:Title>Contabilidad: La base de la toma de desiciones gerenciales</b:Title>
    <b:Year>2012</b:Year>
    <b:Pages>263</b:Pages>
    <b:Author>
      <b:Author>
        <b:NameList>
          <b:Person>
            <b:Last>Catacora</b:Last>
            <b:First>F</b:First>
          </b:Person>
        </b:NameList>
      </b:Author>
      <b:BookAuthor>
        <b:NameList>
          <b:Person>
            <b:Last>Catacora</b:Last>
            <b:First>F</b:First>
          </b:Person>
        </b:NameList>
      </b:BookAuthor>
    </b:Author>
    <b:BookTitle>Contabilidad: La base de la toma de desiciones gerenciales</b:BookTitle>
    <b:City>Veneuela</b:City>
    <b:Publisher>Red Contable</b:Publisher>
    <b:StandardNumber>978-980-692-01-9</b:StandardNumber>
    <b:YearAccessed>2021</b:YearAccessed>
    <b:MonthAccessed>enero</b:MonthAccessed>
    <b:RefOrder>47</b:RefOrder>
  </b:Source>
  <b:Source>
    <b:Tag>Eli191</b:Tag>
    <b:SourceType>JournalArticle</b:SourceType>
    <b:Guid>{252D9E17-19FE-407B-B430-6EB44E9D2EBA}</b:Guid>
    <b:Title>Los estados financieros y las políticas contables.</b:Title>
    <b:Year>2019</b:Year>
    <b:Pages>217-226</b:Pages>
    <b:JournalName>93 Digital Publisher CEIT</b:JournalName>
    <b:Author>
      <b:Author>
        <b:NameList>
          <b:Person>
            <b:Last>Elizalde</b:Last>
            <b:First>L.</b:First>
          </b:Person>
        </b:NameList>
      </b:Author>
    </b:Author>
    <b:StandardNumber> 2588-0705</b:StandardNumber>
    <b:YearAccessed>2021</b:YearAccessed>
    <b:MonthAccessed>enero</b:MonthAccessed>
    <b:DOI>https://doi.org/10.33386/593dp.2019.5-1.159</b:DOI>
    <b:RefOrder>48</b:RefOrder>
  </b:Source>
  <b:Source>
    <b:Tag>Rom182</b:Tag>
    <b:SourceType>JournalArticle</b:SourceType>
    <b:Guid>{4A0E2F8A-1949-40AE-A7AB-11D815418FAE}</b:Guid>
    <b:Title>Relación de la toma de decisiones financieras con el nivel de conocimiento financiero en las mipymes</b:Title>
    <b:JournalName>Revista Suma de Negocios</b:JournalName>
    <b:Year>2018</b:Year>
    <b:Pages>33- 44</b:Pages>
    <b:Author>
      <b:Author>
        <b:NameList>
          <b:Person>
            <b:Last>Romero Álvarez</b:Last>
            <b:First>Y</b:First>
          </b:Person>
          <b:Person>
            <b:Last>Ramírez Montoya</b:Last>
            <b:First>J</b:First>
          </b:Person>
        </b:NameList>
      </b:Author>
    </b:Author>
    <b:StandardNumber>Yaneth Romero Álvarez y Javier Ramírez Montoya</b:StandardNumber>
    <b:YearAccessed>2021</b:YearAccessed>
    <b:MonthAccessed>ENERO</b:MonthAccessed>
    <b:DOI>http://dx.doi.org/10.14349/sumneg/2018.V9.N19.A5</b:DOI>
    <b:RefOrder>49</b:RefOrder>
  </b:Source>
  <b:Source>
    <b:Tag>Car182</b:Tag>
    <b:SourceType>JournalArticle</b:SourceType>
    <b:Guid>{C482BABD-71D0-468F-AA68-B83DD4344ABA}</b:Guid>
    <b:Author>
      <b:Author>
        <b:NameList>
          <b:Person>
            <b:Last>González</b:Last>
            <b:First>C</b:First>
            <b:Middle>Ana Sánchez-Villacres, Jaime Andocilla- Cabrera, Hugo Hidalgo – Hidalgo y Deysi Medina-Hinojosa</b:Middle>
          </b:Person>
        </b:NameList>
      </b:Author>
    </b:Author>
    <b:Title>"El análisis financiero como herramienta clave para una gestión financiera eficiente en las medianas empresas comerciales del Cantón Milagro</b:Title>
    <b:JournalName>Revista Observatorio de la Economía Latinoamericana</b:JournalName>
    <b:Year>2018</b:Year>
    <b:YearAccessed>2021</b:YearAccessed>
    <b:MonthAccessed>enero</b:MonthAccessed>
    <b:URL>https://www.eumed.net/rev/oel/2018/04/analisis-financiero-ecuador.html</b:URL>
    <b:StandardNumber>1696-8352</b:StandardNumber>
    <b:RefOrder>50</b:RefOrder>
  </b:Source>
  <b:Source>
    <b:Tag>Cri181</b:Tag>
    <b:SourceType>JournalArticle</b:SourceType>
    <b:Guid>{AB05E7F1-7DC1-4F5F-9EB0-0B6C55E4D13E}</b:Guid>
    <b:Author>
      <b:Author>
        <b:NameList>
          <b:Person>
            <b:Last>Cristóbal</b:Last>
            <b:First>Julia</b:First>
            <b:Middle>Edith</b:Middle>
          </b:Person>
        </b:NameList>
      </b:Author>
    </b:Author>
    <b:Title>Caso de aplicación de análisis de estados contables: indicadores económicos y financieros para la toma decisiones en pymes</b:Title>
    <b:JournalName>Ciencias Económicas</b:JournalName>
    <b:Year>2018</b:Year>
    <b:Pages>75-100</b:Pages>
    <b:YearAccessed>2021</b:YearAccessed>
    <b:MonthAccessed>enero</b:MonthAccessed>
    <b:DOI>https://doi.org/10.14409/rce.v1i0.7748</b:DOI>
    <b:RefOrder>51</b:RefOrder>
  </b:Source>
  <b:Source>
    <b:Tag>Sal</b:Tag>
    <b:SourceType>JournalArticle</b:SourceType>
    <b:Guid>{78E8DEBB-D5B3-4961-AC11-A4C827C13B6A}</b:Guid>
    <b:Author>
      <b:Author>
        <b:NameList>
          <b:Person>
            <b:Last>Saldaña Maldonado</b:Last>
            <b:First>Christian</b:First>
            <b:Middle>X.</b:Middle>
          </b:Person>
          <b:Person>
            <b:Last>Guamán</b:Last>
            <b:First>Guillermo</b:First>
            <b:Middle>A.</b:Middle>
          </b:Person>
        </b:NameList>
      </b:Author>
    </b:Author>
    <b:Title>Análisis financiero basado en la técnica Fuzzy Logic, como instrumento para la toma de decisiones en la empresa Italimentos Cia. Ltda.</b:Title>
    <b:JournalName>Revista Economía y Política</b:JournalName>
    <b:Year>2019</b:Year>
    <b:Pages>72 - 112</b:Pages>
    <b:StandardNumber>1390-7921</b:StandardNumber>
    <b:DOI>https://doi.org/10.25097/rep.n30.2019.04</b:DOI>
    <b:YearAccessed>2021</b:YearAccessed>
    <b:MonthAccessed>enero</b:MonthAccessed>
    <b:RefOrder>52</b:RefOrder>
  </b:Source>
  <b:Source>
    <b:Tag>Pin19</b:Tag>
    <b:SourceType>JournalArticle</b:SourceType>
    <b:Guid>{46C95F77-A87C-4FF2-8F07-17D6B873AC09}</b:Guid>
    <b:Title>Análisis marginal y estrategia aplicado a una cooperativa de cogestión en Costa Rica.</b:Title>
    <b:JournalName>Revista ABRA,</b:JournalName>
    <b:Year>2019</b:Year>
    <b:Pages>65 - 91</b:Pages>
    <b:Author>
      <b:Author>
        <b:NameList>
          <b:Person>
            <b:Last>Pineda Campos</b:Last>
            <b:First>S.</b:First>
            <b:Middle>A., &amp; Hernández Castro, G.</b:Middle>
          </b:Person>
        </b:NameList>
      </b:Author>
    </b:Author>
    <b:YearAccessed>2021</b:YearAccessed>
    <b:MonthAccessed>ENERO</b:MonthAccessed>
    <b:DOI>https://doi.org/10.15359/abra.39-58.3</b:DOI>
    <b:RefOrder>53</b:RefOrder>
  </b:Source>
  <b:Source>
    <b:Tag>Jos20</b:Tag>
    <b:SourceType>JournalArticle</b:SourceType>
    <b:Guid>{1AE83341-A92B-4D1C-8D84-C7DE1D457780}</b:Guid>
    <b:Author>
      <b:Author>
        <b:NameList>
          <b:Person>
            <b:Last>Armijos</b:Last>
            <b:First>JCecilia</b:First>
            <b:Middle>Ivonne Narváez-Zurita, Jorge Edwin Ormaza-Andrade, Juan Carlos Erazo-Álvarez</b:Middle>
          </b:Person>
        </b:NameList>
      </b:Author>
    </b:Author>
    <b:Title>Herramientas de gestión financiera para las MIPYMES y organizaciones de la economía popular y solidaria</b:Title>
    <b:JournalName>Revista Dominio de las Ciencias</b:JournalName>
    <b:Year>2020</b:Year>
    <b:Pages>466-497</b:Pages>
    <b:StandardNumber>2477-8818</b:StandardNumber>
    <b:YearAccessed>2021</b:YearAccessed>
    <b:MonthAccessed>enero</b:MonthAccessed>
    <b:DOI>http://dx.doi.org/10.23857/dc.v6i1.1156</b:DOI>
    <b:RefOrder>54</b:RefOrder>
  </b:Source>
  <b:Source>
    <b:Tag>Pue182</b:Tag>
    <b:SourceType>JournalArticle</b:SourceType>
    <b:Guid>{DC943C2E-2168-4DB5-B23A-13CA2DEB1EB3}</b:Guid>
    <b:Author>
      <b:Author>
        <b:NameList>
          <b:Person>
            <b:Last>Puerta Guardo</b:Last>
            <b:First>F.,</b:First>
            <b:Middle>Vergara Arrieta, J., &amp; Huertas Cardozo, N.</b:Middle>
          </b:Person>
        </b:NameList>
      </b:Author>
    </b:Author>
    <b:Title>Análisis financiero: enfoques en su evolución.</b:Title>
    <b:JournalName>Criterio Libre</b:JournalName>
    <b:Year>2018</b:Year>
    <b:Pages>75 - 94</b:Pages>
    <b:YearAccessed>2021</b:YearAccessed>
    <b:MonthAccessed>enero</b:MonthAccessed>
    <b:DOI>https://doi.org/10.18041/1900-0642/criteriolibre.2018v16n28.2125</b:DOI>
    <b:RefOrder>55</b:RefOrder>
  </b:Source>
  <b:Source>
    <b:Tag>Fon12</b:Tag>
    <b:SourceType>JournalArticle</b:SourceType>
    <b:Guid>{D8848065-B77A-4DE1-BE8A-AED3CE828E21}</b:Guid>
    <b:Title>Análisis financiero del Sector Inmobiliario del departamento de Bolívar.</b:Title>
    <b:JournalName>ingeniare</b:JournalName>
    <b:Year>2012</b:Year>
    <b:Pages>35 - 46</b:Pages>
    <b:Author>
      <b:Author>
        <b:NameList>
          <b:Person>
            <b:Last>Fontalvo</b:Last>
            <b:First>Herrera</b:First>
            <b:Middle>T, Morelos Gómez J, de la Hoz Granadillo E.</b:Middle>
          </b:Person>
        </b:NameList>
      </b:Author>
    </b:Author>
    <b:StandardNumber>1909-2458</b:StandardNumber>
    <b:YearAccessed>2021</b:YearAccessed>
    <b:MonthAccessed>enero</b:MonthAccessed>
    <b:URL>https://revistas.unilibre.edu.co/index.php/ingeniare/article/view/632</b:URL>
    <b:RefOrder>56</b:RefOrder>
  </b:Source>
  <b:Source>
    <b:Tag>Cas</b:Tag>
    <b:SourceType>JournalArticle</b:SourceType>
    <b:Guid>{C9F4A797-45D0-4324-B803-0DD0478A6133}</b:Guid>
    <b:Author>
      <b:Author>
        <b:NameList>
          <b:Person>
            <b:Last>Casamayu</b:Last>
            <b:First>Elisabeth</b:First>
            <b:Middle>Teresa</b:Middle>
          </b:Person>
        </b:NameList>
      </b:Author>
    </b:Author>
    <b:Title>Apalancamiento financiero y su influencia en la rentabilidad de las empresa, periodo 2008-2017</b:Title>
    <b:Year>2019</b:Year>
    <b:Pages>33-39</b:Pages>
    <b:JournalName>Quipukamayoc</b:JournalName>
    <b:YearAccessed>2021</b:YearAccessed>
    <b:MonthAccessed>enero</b:MonthAccessed>
    <b:URL>https://revistasinvestigacion.unmsm.edu.pe/index.php/quipu/article/view/15983</b:URL>
    <b:RefOrder>57</b:RefOrder>
  </b:Source>
  <b:Source>
    <b:Tag>Bon18</b:Tag>
    <b:SourceType>JournalArticle</b:SourceType>
    <b:Guid>{0E414D6C-3462-4397-91EF-68C2433FF303}</b:Guid>
    <b:Author>
      <b:Author>
        <b:NameList>
          <b:Person>
            <b:Last>Bonilla Bermeo</b:Last>
            <b:First>J</b:First>
          </b:Person>
        </b:NameList>
      </b:Author>
    </b:Author>
    <b:Title>ANÁLISIS DE LA GESTIÓN DE RIESGOS FINANCIEROS EN GRANDES EMPRESAS COMERCIALES DE GUAYAQUIL</b:Title>
    <b:JournalName>Espirales revista multidisciplinaria de investigación</b:JournalName>
    <b:Year>2018</b:Year>
    <b:StandardNumber>2550-6862</b:StandardNumber>
    <b:YearAccessed>2021</b:YearAccessed>
    <b:MonthAccessed>ENERO</b:MonthAccessed>
    <b:URL>http://www.revistaespirales.com/index.php/es/article/view/195/139</b:URL>
    <b:RefOrder>58</b:RefOrder>
  </b:Source>
  <b:Source>
    <b:Tag>Sal17</b:Tag>
    <b:SourceType>JournalArticle</b:SourceType>
    <b:Guid>{8DC6D7FA-9C8B-4D9E-B3DB-AC68D940B4BB}</b:Guid>
    <b:Author>
      <b:Author>
        <b:NameList>
          <b:Person>
            <b:Last>Salazar</b:Last>
            <b:First>A</b:First>
          </b:Person>
          <b:Person>
            <b:Last>Bajaña</b:Last>
            <b:First>G</b:First>
          </b:Person>
        </b:NameList>
      </b:Author>
    </b:Author>
    <b:Title>Apalancamiento Financiero y su incidencia en la distribución de las utilidades de la empresa Ecuador Overseas Agencies C. A.</b:Title>
    <b:JournalName>Revista Observatorio de la Economia Latinoamericana</b:JournalName>
    <b:Year>2017</b:Year>
    <b:Pages>1-18</b:Pages>
    <b:StandardNumber>1696-8352</b:StandardNumber>
    <b:YearAccessed>2021</b:YearAccessed>
    <b:MonthAccessed>enero</b:MonthAccessed>
    <b:URL>https://www.eumed.net/cursecon/ecolat/ec/2017/overseas.html</b:URL>
    <b:RefOrder>59</b:RefOrder>
  </b:Source>
  <b:Source>
    <b:Tag>Oll171</b:Tag>
    <b:SourceType>JournalArticle</b:SourceType>
    <b:Guid>{2FF61173-2A16-4982-A203-0FBA94D21DBB}</b:Guid>
    <b:Title>Indicadores financieros de gestión: análisis e interpretación desde una visión retrospectiva y prospectiva.</b:Title>
    <b:JournalName>NNOVA Research Journal</b:JournalName>
    <b:Year>2017</b:Year>
    <b:Pages>22 - 41</b:Pages>
    <b:Author>
      <b:Author>
        <b:NameList>
          <b:Person>
            <b:Last>Ollague</b:Last>
            <b:First>Valarezo,</b:First>
            <b:Middle>J K., Ramón Ramón, D. I., Soto Gonzalez, C. O., &amp; Novillo Maldonado</b:Middle>
          </b:Person>
        </b:NameList>
      </b:Author>
    </b:Author>
    <b:StandardNumber>2477-9024</b:StandardNumber>
    <b:YearAccessed>2021</b:YearAccessed>
    <b:MonthAccessed>enero</b:MonthAccessed>
    <b:DOI>https://doi.org/10.33890/innova.v2.n8.1.2017.328</b:DOI>
    <b:RefOrder>60</b:RefOrder>
  </b:Source>
  <b:Source>
    <b:Tag>Aso18</b:Tag>
    <b:SourceType>InternetSite</b:SourceType>
    <b:Guid>{3A3ABF3D-CD65-4189-9795-78178047C23B}</b:Guid>
    <b:Author>
      <b:Author>
        <b:Corporate>Asociación Mexicana de Internet</b:Corporate>
      </b:Author>
    </b:Author>
    <b:Title>Asociación Mexicana de Internet</b:Title>
    <b:Year>2018</b:Year>
    <b:URL>http://www.amipci.org.mx/</b:URL>
    <b:RefOrder>61</b:RefOrder>
  </b:Source>
  <b:Source>
    <b:Tag>Raz18</b:Tag>
    <b:SourceType>JournalArticle</b:SourceType>
    <b:Guid>{D3B47AB7-A168-4C77-B454-D2B5519ADF7A}</b:Guid>
    <b:Author>
      <b:Author>
        <b:NameList>
          <b:Person>
            <b:Last>Razak</b:Last>
            <b:First>D.</b:First>
            <b:Middle>A.</b:Middle>
          </b:Person>
          <b:Person>
            <b:Last>Abdullah</b:Last>
            <b:First>M.</b:First>
            <b:Middle>A.</b:Middle>
          </b:Person>
          <b:Person>
            <b:Last>Ersoy</b:Last>
            <b:First>A.</b:First>
          </b:Person>
        </b:NameList>
      </b:Author>
    </b:Author>
    <b:Title>mall Medium Enterprises (Smes) In Turkey And Malaysia A Comparative Discussion On Issues And Challenges</b:Title>
    <b:Year>2018</b:Year>
    <b:JournalName>International Journal of Business, Economics and Law, 10(49)</b:JournalName>
    <b:Pages>2-591</b:Pages>
    <b:RefOrder>62</b:RefOrder>
  </b:Source>
  <b:Source>
    <b:Tag>Guz16</b:Tag>
    <b:SourceType>InternetSite</b:SourceType>
    <b:Guid>{31414195-5612-4031-8DEC-113D9E32AF24}</b:Guid>
    <b:Title>Análisis del uso de las TIC en las pymes de Guayaquil en el año 2015</b:Title>
    <b:Year>2016</b:Year>
    <b:Author>
      <b:Author>
        <b:NameList>
          <b:Person>
            <b:Last>Guzmán</b:Last>
            <b:First>Guillermo</b:First>
          </b:Person>
          <b:Person>
            <b:Last>Guzmán</b:Last>
            <b:First>María</b:First>
          </b:Person>
          <b:Person>
            <b:Last>Fuentes</b:Last>
            <b:First>Raúl</b:First>
          </b:Person>
        </b:NameList>
      </b:Author>
    </b:Author>
    <b:URL>https://dialnet.unirioja.es/descarga/articulo/5841091.pdf</b:URL>
    <b:RefOrder>63</b:RefOrder>
  </b:Source>
  <b:Source>
    <b:Tag>CEP20</b:Tag>
    <b:SourceType>InternetSite</b:SourceType>
    <b:Guid>{0B5EA303-ACAD-435D-8CEB-611B7341ECDF}</b:Guid>
    <b:Author>
      <b:Author>
        <b:Corporate>CEPAL</b:Corporate>
      </b:Author>
    </b:Author>
    <b:Title>Acerca de Microempresas y Pymes</b:Title>
    <b:Year>2020</b:Year>
    <b:URL>https://www.cepal.org/es/temas/pymes/acerca-microempresas-pymes</b:URL>
    <b:RefOrder>64</b:RefOrder>
  </b:Source>
  <b:Source>
    <b:Tag>RON20</b:Tag>
    <b:SourceType>InternetSite</b:SourceType>
    <b:Guid>{37B29EED-0B30-4BC5-A065-D5208831A68D}</b:Guid>
    <b:Author>
      <b:Author>
        <b:NameList>
          <b:Person>
            <b:Last>Ron</b:Last>
            <b:First>Rafael</b:First>
            <b:Middle>Eduardo</b:Middle>
          </b:Person>
          <b:Person>
            <b:Last>Sacoto</b:Last>
            <b:First>Viviana</b:First>
            <b:Middle>Alexandra</b:Middle>
          </b:Person>
        </b:NameList>
      </b:Author>
    </b:Author>
    <b:Title>Las PYMES ecuatorianas: su impacto en el empleo como contribución del PIB PYMES al PIB total</b:Title>
    <b:Year>2020</b:Year>
    <b:URL>https://www.revistaespacios.com/a17v38n53/a17v38n53p15.pdf</b:URL>
    <b:RefOrder>65</b:RefOrder>
  </b:Source>
  <b:Source>
    <b:Tag>Del18</b:Tag>
    <b:SourceType>InternetSite</b:SourceType>
    <b:Guid>{E3A38F9E-89F8-4983-9916-4DAC3CF78517}</b:Guid>
    <b:Author>
      <b:Author>
        <b:NameList>
          <b:Person>
            <b:Last>Delgado</b:Last>
            <b:First>Dilmar</b:First>
            <b:Middle>Danilo</b:Middle>
          </b:Person>
          <b:Person>
            <b:Last>Chávez</b:Last>
            <b:First>Gloria</b:First>
            <b:Middle>Patricia</b:Middle>
          </b:Person>
        </b:NameList>
      </b:Author>
    </b:Author>
    <b:Title>Las PYMES en el Ecuador y sus fuentes de financiamiento</b:Title>
    <b:Year>2018</b:Year>
    <b:URL>https://www.eumed.net/rev/oel/2018/04/pymes-ecuador-financiamiento.html</b:URL>
    <b:RefOrder>66</b:RefOrder>
  </b:Source>
  <b:Source>
    <b:Tag>INE20</b:Tag>
    <b:SourceType>InternetSite</b:SourceType>
    <b:Guid>{BCE24081-2572-4DA1-B501-6B1D9789203E}</b:Guid>
    <b:Author>
      <b:Author>
        <b:Corporate>INEC</b:Corporate>
      </b:Author>
    </b:Author>
    <b:Title>Boletín técnico 2019</b:Title>
    <b:Year>2020</b:Year>
    <b:URL>https://www.ecuadorencifras.gob.ec/documentos/web-inec/Estadisticas_Economicas/DirectorioEmpresas/Directorio_Empresas_2019/Boletin_Tecnico_DIEE_2019.pdf</b:URL>
    <b:RefOrder>67</b:RefOrder>
  </b:Source>
  <b:Source>
    <b:Tag>Gar191</b:Tag>
    <b:SourceType>JournalArticle</b:SourceType>
    <b:Guid>{11333E56-5104-441F-8D58-E3F0BBE409E8}</b:Guid>
    <b:Title>Cultura de servicio en la optimización del servicio al cliente</b:Title>
    <b:Year>2019</b:Year>
    <b:URL>https://www.redalyc.org/pdf/993/99346931003.pdf</b:URL>
    <b:Author>
      <b:Author>
        <b:NameList>
          <b:Person>
            <b:Last>García</b:Last>
            <b:First>Arminda</b:First>
          </b:Person>
        </b:NameList>
      </b:Author>
    </b:Author>
    <b:JournalName>elos, vol. 18, núm. 3</b:JournalName>
    <b:RefOrder>68</b:RefOrder>
  </b:Source>
  <b:Source>
    <b:Tag>Sca09</b:Tag>
    <b:SourceType>JournalArticle</b:SourceType>
    <b:Guid>{0C47149D-898C-4B39-ACB6-EECAD8D75954}</b:Guid>
    <b:Author>
      <b:Author>
        <b:NameList>
          <b:Person>
            <b:Last>Scarabino</b:Last>
            <b:First>J.</b:First>
          </b:Person>
          <b:Person>
            <b:Last>Colonnello</b:Last>
            <b:First>M.</b:First>
          </b:Person>
        </b:NameList>
      </b:Author>
    </b:Author>
    <b:Title>Innovación empresarial en Argentina. Difusión de TICs en las PyMEs.</b:Title>
    <b:JournalName> INVENIO. Vol. 12, Núm. 22. Junio</b:JournalName>
    <b:Year>2009</b:Year>
    <b:Pages>93-107</b:Pages>
    <b:RefOrder>69</b:RefOrder>
  </b:Source>
  <b:Source>
    <b:Tag>Val12</b:Tag>
    <b:SourceType>InternetSite</b:SourceType>
    <b:Guid>{C279AF0F-5C72-4268-9CA6-4EFB3EBDA916}</b:Guid>
    <b:Author>
      <b:Author>
        <b:NameList>
          <b:Person>
            <b:Last>Valdés</b:Last>
            <b:First>Jesús</b:First>
            <b:Middle>Amador</b:Middle>
          </b:Person>
          <b:Person>
            <b:Last>Sánchez</b:Last>
            <b:First>Gil</b:First>
            <b:Middle>Armando</b:Middle>
          </b:Person>
        </b:NameList>
      </b:Author>
    </b:Author>
    <b:Title>Las mipymes en el contexto mundial: sus particularidades en México</b:Title>
    <b:Year>2012</b:Year>
    <b:URL>https://www.redalyc.org/pdf/2110/211026873005.pdf</b:URL>
    <b:RefOrder>70</b:RefOrder>
  </b:Source>
  <b:Source>
    <b:Tag>Slu20</b:Tag>
    <b:SourceType>InternetSite</b:SourceType>
    <b:Guid>{6A2A7E8C-D4ED-45BE-AB5E-968044B78D70}</b:Guid>
    <b:Author>
      <b:Author>
        <b:NameList>
          <b:Person>
            <b:Last>Slusarczyk</b:Last>
            <b:First>María</b:First>
          </b:Person>
        </b:NameList>
      </b:Author>
    </b:Author>
    <b:Title>TIC en la PYMES</b:Title>
    <b:Year>2020</b:Year>
    <b:URL>http://cimogsys.espoch.edu.ec/direccion-publicaciones/public/docs/books/2020-10-15-201927-TIC%20y%20pymes%20final.pdf</b:URL>
    <b:RefOrder>71</b:RefOrder>
  </b:Source>
  <b:Source>
    <b:Tag>Zam17</b:Tag>
    <b:SourceType>InternetSite</b:SourceType>
    <b:Guid>{F03366B2-9F69-481D-BA1C-4A8E515925EA}</b:Guid>
    <b:Author>
      <b:Author>
        <b:NameList>
          <b:Person>
            <b:Last>Zambrano</b:Last>
            <b:First>Pablo</b:First>
          </b:Person>
        </b:NameList>
      </b:Author>
    </b:Author>
    <b:Title>Visa Al Desarrollo</b:Title>
    <b:Year>2017</b:Year>
    <b:URL>https://es.scribd.com/document/493915538/Visa-al-Desarrollo-Eco-Pablo-Zambrano-Ponton</b:URL>
    <b:RefOrder>72</b:RefOrder>
  </b:Source>
  <b:Source>
    <b:Tag>Arr14</b:Tag>
    <b:SourceType>Book</b:SourceType>
    <b:Guid>{97D9C336-CC5A-4A85-BF54-C6DA876BCC4E}</b:Guid>
    <b:Author>
      <b:Author>
        <b:NameList>
          <b:Person>
            <b:Last>Arribas</b:Last>
            <b:First>A.</b:First>
          </b:Person>
        </b:NameList>
      </b:Author>
    </b:Author>
    <b:Title>¿Centralizar o descentralizar los sistemas de información de la empresa?</b:Title>
    <b:Year>2014</b:Year>
    <b:RefOrder>73</b:RefOrder>
  </b:Source>
  <b:Source>
    <b:Tag>Lar18</b:Tag>
    <b:SourceType>InternetSite</b:SourceType>
    <b:Guid>{BB9346A0-4831-475B-9E58-1AFB788B79B7}</b:Guid>
    <b:Title>Los sistemas de información para las microempresas en México</b:Title>
    <b:Year>2018</b:Year>
    <b:Author>
      <b:Author>
        <b:NameList>
          <b:Person>
            <b:Last>Lara</b:Last>
            <b:First>Verónica</b:First>
            <b:Middle>Altagracia</b:Middle>
          </b:Person>
          <b:Person>
            <b:Last>López</b:Last>
            <b:First>Genaro</b:First>
            <b:Middle>Roberto</b:Middle>
          </b:Person>
          <b:Person>
            <b:Last>Vázquez</b:Last>
            <b:First>Patricia</b:First>
          </b:Person>
        </b:NameList>
      </b:Author>
    </b:Author>
    <b:URL>https://www.uv.mx/iic/files/2018/12/Num09-Art03-153.pdf</b:URL>
    <b:RefOrder>74</b:RefOrder>
  </b:Source>
  <b:Source>
    <b:Tag>Var19</b:Tag>
    <b:SourceType>InternetSite</b:SourceType>
    <b:Guid>{E878464A-CAAA-4062-A8BB-628D38881AE9}</b:Guid>
    <b:Author>
      <b:Author>
        <b:NameList>
          <b:Person>
            <b:Last>Vargas</b:Last>
            <b:First>Luz</b:First>
            <b:Middle>Elena</b:Middle>
          </b:Person>
          <b:Person>
            <b:Last>Villalba</b:Last>
            <b:First>Vanessa</b:First>
          </b:Person>
          <b:Person>
            <b:Last>Severiche</b:Last>
            <b:First>Carlos</b:First>
            <b:Middle>Albererto</b:Middle>
          </b:Person>
          <b:Person>
            <b:Last>Bedoya</b:Last>
            <b:First>Elías</b:First>
            <b:Middle>Alberto</b:Middle>
          </b:Person>
          <b:Person>
            <b:Last>Castro</b:Last>
            <b:First>Alain</b:First>
            <b:Middle>Fitzgerard</b:Middle>
          </b:Person>
          <b:Person>
            <b:Last>Cohen</b:Last>
            <b:First>Harold</b:First>
            <b:Middle>Enrique</b:Middle>
          </b:Person>
        </b:NameList>
      </b:Author>
    </b:Author>
    <b:Title>TICs y gestión de la innovación en MiPyMEs: Un análisis con experimentos factoriales para las utilidades</b:Title>
    <b:Year>2019</b:Year>
    <b:URL>http://www.revistaespacios.com/a19v40n13/19401324.html</b:URL>
    <b:RefOrder>75</b:RefOrder>
  </b:Source>
  <b:Source>
    <b:Tag>Gue201</b:Tag>
    <b:SourceType>JournalArticle</b:SourceType>
    <b:Guid>{612F65F1-FE3E-4B94-93C2-C6CC3C22AC3B}</b:Guid>
    <b:Author>
      <b:Author>
        <b:NameList>
          <b:Person>
            <b:Last>Guevara</b:Last>
            <b:First>Gladys</b:First>
            <b:Middle>Patricia</b:Middle>
          </b:Person>
          <b:Person>
            <b:Last>Verdesoto</b:Last>
            <b:First>Alexis</b:First>
            <b:Middle>Eduardo</b:Middle>
          </b:Person>
          <b:Person>
            <b:Last>Castro</b:Last>
            <b:First>Nelly</b:First>
            <b:Middle>Esther</b:Middle>
          </b:Person>
        </b:NameList>
      </b:Author>
    </b:Author>
    <b:Title>Metodologías de investigación educativa (descriptivas, experimentales, participativas, y de investigación-acción)</b:Title>
    <b:Year>2020</b:Year>
    <b:URL>https://dialnet.unirioja.es/descarga/articulo/7591592.pdf</b:URL>
    <b:JournalName>Revista científica Mundo de la Investigación y el Conocimiento</b:JournalName>
    <b:RefOrder>76</b:RefOrder>
  </b:Source>
  <b:Source>
    <b:Tag>Her19</b:Tag>
    <b:SourceType>InternetSite</b:SourceType>
    <b:Guid>{F5F9930E-69FA-4A87-B11A-9B8AC0D655AB}</b:Guid>
    <b:Author>
      <b:Author>
        <b:NameList>
          <b:Person>
            <b:Last>Hernández</b:Last>
            <b:First>R.</b:First>
          </b:Person>
          <b:Person>
            <b:Last>Mendoza</b:Last>
            <b:First>C</b:First>
          </b:Person>
        </b:NameList>
      </b:Author>
    </b:Author>
    <b:Title>Metodología de la investigación. Las rutas cuantitativa, cualitativa y mixta</b:Title>
    <b:Year>2019</b:Year>
    <b:URL>https://virtual.cuautitlan.unam.mx/rudics/?p=2612</b:URL>
    <b:RefOrder>77</b:RefOrder>
  </b:Source>
  <b:Source>
    <b:Tag>Arg19</b:Tag>
    <b:SourceType>InternetSite</b:SourceType>
    <b:Guid>{5CDEBD3E-7181-4EFF-9B3E-7218CE4E9501}</b:Guid>
    <b:Title>Un análisis de las MIPYMES en Ecuador</b:Title>
    <b:Year>2019</b:Year>
    <b:Author>
      <b:Author>
        <b:NameList>
          <b:Person>
            <b:Last>Arguello</b:Last>
            <b:First>A</b:First>
          </b:Person>
        </b:NameList>
      </b:Author>
    </b:Author>
    <b:URL>https://marketingactivo.com/un-analisis-de-las-mipymes-en-ecuador/2019/01/08/</b:URL>
    <b:RefOrder>78</b:RefOrder>
  </b:Source>
  <b:Source>
    <b:Tag>Arc19</b:Tag>
    <b:SourceType>InternetSite</b:SourceType>
    <b:Guid>{8234DF5B-8EFD-45D3-949B-4AA2C0B00E5E}</b:Guid>
    <b:Author>
      <b:Author>
        <b:NameList>
          <b:Person>
            <b:Last>Arce</b:Last>
            <b:First>Karen</b:First>
            <b:Middle>Andreina</b:Middle>
          </b:Person>
          <b:Person>
            <b:Last>Asky</b:Last>
            <b:First>Kelly</b:First>
            <b:Middle>Jaqueline</b:Middle>
          </b:Person>
        </b:NameList>
      </b:Author>
    </b:Author>
    <b:Title>La asociatividad y su incidencia en la competitividad de las pymes comerciales del Cantón la Troncal 2019</b:Title>
    <b:Year>2019</b:Year>
    <b:URL>http://repositorio.unemi.edu.ec/bitstream/123456789/4989/1/1.%20LA%20ASOCIATIVIDAD%20Y%20SU%20INCIDENCIA%20EN%20LA%20COMPETITIVIDAD%20DE%20LAS%20PYMES%20COMERCIALES%20DEL%20CANTON%20LA%20TRONCAL%202019.pdf</b:URL>
    <b:RefOrder>79</b:RefOrder>
  </b:Source>
  <b:Source>
    <b:Tag>Eko21</b:Tag>
    <b:SourceType>InternetSite</b:SourceType>
    <b:Guid>{8994C1AE-B002-4627-92C0-030F6D00150B}</b:Guid>
    <b:Author>
      <b:Author>
        <b:Corporate>Ekos Negocios</b:Corporate>
      </b:Author>
    </b:Author>
    <b:Title>En 2021, el comercio electrónico mantendrá un crecimiento sostenido en Ecuador</b:Title>
    <b:Year>2021</b:Year>
    <b:URL>https://www.ekosnegocios.com/articulo/en-2021-el-comercio-electronico-mantendra-un-crecimiento-sostenido-en-ecuador</b:URL>
    <b:RefOrder>80</b:RefOrder>
  </b:Source>
  <b:Source>
    <b:Tag>Sol17</b:Tag>
    <b:SourceType>InternetSite</b:SourceType>
    <b:Guid>{1BABB313-B4F9-495E-82A1-093202ED64F3}</b:Guid>
    <b:Author>
      <b:Author>
        <b:NameList>
          <b:Person>
            <b:Last>Solis</b:Last>
            <b:First>Juan</b:First>
            <b:Middle>B.</b:Middle>
          </b:Person>
          <b:Person>
            <b:Last>Quevedo</b:Last>
            <b:First>Jorge</b:First>
            <b:Middle>O.</b:Middle>
          </b:Person>
          <b:Person>
            <b:Last>Mantilla</b:Last>
            <b:First>Xavier</b:First>
            <b:Middle>A</b:Middle>
          </b:Person>
          <b:Person>
            <b:Last>Neira</b:Last>
            <b:First>Lucía</b:First>
            <b:Middle>M.</b:Middle>
          </b:Person>
        </b:NameList>
      </b:Author>
    </b:Author>
    <b:Title>Cultura emprendedora en las microempresas viales de la provincia del Cañar</b:Title>
    <b:Year>2017</b:Year>
    <b:URL>https://www.researchgate.net/publication/335669879_Cultura_emprendedora_en_las_microempresas_viales_de_la_provincia_del_Canar</b:URL>
    <b:RefOrder>81</b:RefOrder>
  </b:Source>
  <b:Source>
    <b:Tag>San20</b:Tag>
    <b:SourceType>JournalArticle</b:SourceType>
    <b:Guid>{1FCF1ED0-61D8-4D01-8DEA-B31F691A378C}</b:Guid>
    <b:Author>
      <b:Author>
        <b:NameList>
          <b:Person>
            <b:Last>Santana-Sardi</b:Last>
            <b:First>Gutiérrez-Santana</b:First>
          </b:Person>
          <b:Person>
            <b:Last>Zambrano-Palacios</b:Last>
          </b:Person>
          <b:Person>
            <b:Last>Castro-Coello</b:Last>
          </b:Person>
        </b:NameList>
      </b:Author>
    </b:Author>
    <b:Title>La Educación Superior ecuatoriana en tiempo de la pandemia del Covid-19</b:Title>
    <b:JournalName>Dominio de las Ciencias.Vol.6, No.3</b:JournalName>
    <b:Year>2020</b:Year>
    <b:Pages>pp.45</b:Pages>
    <b:RefOrder>82</b:RefOrder>
  </b:Source>
  <b:Source>
    <b:Tag>Sor20</b:Tag>
    <b:SourceType>JournalArticle</b:SourceType>
    <b:Guid>{BFCC885F-9E07-4E65-8375-A8502FD31713}</b:Guid>
    <b:Author>
      <b:Author>
        <b:NameList>
          <b:Person>
            <b:Last>Soria-Caiza</b:Last>
          </b:Person>
          <b:Person>
            <b:Last>Espinoza-Beltrán</b:Last>
          </b:Person>
          <b:Person>
            <b:Last>García-Narváez</b:Last>
          </b:Person>
          <b:Person>
            <b:Last>Mena-Pacheco</b:Last>
          </b:Person>
        </b:NameList>
      </b:Author>
    </b:Author>
    <b:Title>Los Desafíos de la Educación Superior frente al COVID 19 en Ecuador</b:Title>
    <b:JournalName>Revista Científica FIPCAEC</b:JournalName>
    <b:Year>2020</b:Year>
    <b:Pages>pp. 238-249</b:Pages>
    <b:RefOrder>83</b:RefOrder>
  </b:Source>
  <b:Source>
    <b:Tag>Mac21</b:Tag>
    <b:SourceType>JournalArticle</b:SourceType>
    <b:Guid>{D5D9F976-A734-417D-AC2E-5D557F7F487C}</b:Guid>
    <b:Author>
      <b:Author>
        <b:NameList>
          <b:Person>
            <b:Last>Macías</b:Last>
            <b:First>Leonela</b:First>
          </b:Person>
          <b:Person>
            <b:Last>Loor</b:Last>
            <b:First>Jeoconda</b:First>
          </b:Person>
        </b:NameList>
      </b:Author>
    </b:Author>
    <b:Title>Efectos del COVID-19 en la educación superior y la subsecuente aplicación de ambientes de aprendizaje virtual</b:Title>
    <b:JournalName>Revista Científica Multidisciplinaria SAPIENTIAE.Vol 4, No. 7</b:JournalName>
    <b:Year>2021</b:Year>
    <b:Pages>pp.64-76</b:Pages>
    <b:RefOrder>84</b:RefOrder>
  </b:Source>
  <b:Source>
    <b:Tag>Ram13</b:Tag>
    <b:SourceType>JournalArticle</b:SourceType>
    <b:Guid>{9421D42D-4C0B-43EC-9BE0-73AB842B370B}</b:Guid>
    <b:Author>
      <b:Author>
        <b:NameList>
          <b:Person>
            <b:Last>Ramos</b:Last>
            <b:First>Meilyn</b:First>
          </b:Person>
          <b:Person>
            <b:Last>Rodríguez</b:Last>
            <b:First>Mercedes</b:First>
          </b:Person>
        </b:NameList>
      </b:Author>
    </b:Author>
    <b:Title>La dimensión educativa del proceso formativo</b:Title>
    <b:JournalName>EFDeportes</b:JournalName>
    <b:Year>2013</b:Year>
    <b:RefOrder>85</b:RefOrder>
  </b:Source>
  <b:Source>
    <b:Tag>Lat16</b:Tag>
    <b:SourceType>InternetSite</b:SourceType>
    <b:Guid>{8D61968B-59B6-45A3-96F5-F81ECD73A23E}</b:Guid>
    <b:Author>
      <b:Author>
        <b:NameList>
          <b:Person>
            <b:Last>Latorre</b:Last>
            <b:First>Marino</b:First>
          </b:Person>
        </b:NameList>
      </b:Author>
    </b:Author>
    <b:Title>EDUCACIÓN, INSTRUCCIÓN, APRENDIZAJE Y FORMACIÓN</b:Title>
    <b:Year>2016</b:Year>
    <b:URL>https://marinolatorre.umch.edu.pe/educacion-instruccion-aprendizaje-y-formacion/</b:URL>
    <b:RefOrder>86</b:RefOrder>
  </b:Source>
  <b:Source>
    <b:Tag>Gon14</b:Tag>
    <b:SourceType>JournalArticle</b:SourceType>
    <b:Guid>{A62E748F-AAAD-44E3-9F9B-E7C602ED5542}</b:Guid>
    <b:Title>La formulación de los objetivos instructivos en el contexto del currículo docente</b:Title>
    <b:Year>2014</b:Year>
    <b:Author>
      <b:Author>
        <b:NameList>
          <b:Person>
            <b:Last>González</b:Last>
            <b:First>Carlos</b:First>
          </b:Person>
          <b:Person>
            <b:Last>Sánchez</b:Last>
            <b:First>Leonardo</b:First>
          </b:Person>
        </b:NameList>
      </b:Author>
    </b:Author>
    <b:JournalName>Educ Med Super vol.28 no.3</b:JournalName>
    <b:Pages>pp.:467-481 </b:Pages>
    <b:RefOrder>87</b:RefOrder>
  </b:Source>
  <b:Source>
    <b:Tag>Lle15</b:Tag>
    <b:SourceType>JournalArticle</b:SourceType>
    <b:Guid>{C80FDF17-044F-4D19-B04C-020D4C0510A1}</b:Guid>
    <b:Author>
      <b:Author>
        <b:NameList>
          <b:Person>
            <b:Last>Llerena</b:Last>
            <b:First>Odalia</b:First>
          </b:Person>
        </b:NameList>
      </b:Author>
    </b:Author>
    <b:Title>EL PROCESO DE FORMACIÓN PROFESIONAL DESDE UN PUNTO DE VISTA COMPLEJO E HISTÓRICO-CULTURAL</b:Title>
    <b:JournalName>Actualidades Investigativa en Educación</b:JournalName>
    <b:Year>2015</b:Year>
    <b:Pages>pp.1-23 </b:Pages>
    <b:RefOrder>88</b:RefOrder>
  </b:Source>
  <b:Source>
    <b:Tag>Vig87</b:Tag>
    <b:SourceType>Book</b:SourceType>
    <b:Guid>{4FE82B3B-FFA2-452B-9977-27C5ACF937FE}</b:Guid>
    <b:Author>
      <b:Author>
        <b:NameList>
          <b:Person>
            <b:Last>Vigotski</b:Last>
            <b:First>Lev</b:First>
            <b:Middle>Semionovich</b:Middle>
          </b:Person>
        </b:NameList>
      </b:Author>
    </b:Author>
    <b:Title>Historia  del  Desarrollo  de  las  Funciones  Psíquicas Superiores</b:Title>
    <b:Year>1987</b:Year>
    <b:City>Habana</b:City>
    <b:Publisher>Editorial  Científico  Técnica. </b:Publisher>
    <b:RefOrder>89</b:RefOrder>
  </b:Source>
  <b:Source>
    <b:Tag>Mor04</b:Tag>
    <b:SourceType>Book</b:SourceType>
    <b:Guid>{88F299D4-FA74-4030-897C-4224C20CCAAA}</b:Guid>
    <b:Author>
      <b:Author>
        <b:NameList>
          <b:Person>
            <b:Last>Morin</b:Last>
            <b:First>Edgar</b:First>
          </b:Person>
        </b:NameList>
      </b:Author>
    </b:Author>
    <b:Title>Epistemología  de  la  complejidad.  Gazeta  de  Antropología  (20)</b:Title>
    <b:Year>2004</b:Year>
    <b:Publisher>Recuperado de  http://www.ugr.es/~pwlac/G20_02Edgar_Morin.html</b:Publisher>
    <b:RefOrder>90</b:RefOrder>
  </b:Source>
  <b:Source>
    <b:Tag>Val10</b:Tag>
    <b:SourceType>JournalArticle</b:SourceType>
    <b:Guid>{D593A3B2-24CC-4262-B8D4-0CBB0FA2AE9D}</b:Guid>
    <b:Title>El proceso de formación del profesional en la educación superior basado en competencias: el desafío de su calidad, en busca de una mayor integralidad de los egresados</b:Title>
    <b:Year>2010</b:Year>
    <b:Author>
      <b:Author>
        <b:NameList>
          <b:Person>
            <b:Last>Valera</b:Last>
            <b:First>René</b:First>
          </b:Person>
        </b:NameList>
      </b:Author>
    </b:Author>
    <b:JournalName>Civilizar</b:JournalName>
    <b:Pages>pp.117-134</b:Pages>
    <b:RefOrder>91</b:RefOrder>
  </b:Source>
  <b:Source>
    <b:Tag>Pér17</b:Tag>
    <b:SourceType>JournalArticle</b:SourceType>
    <b:Guid>{3D2F97FE-BB34-478F-9304-5774D7B78B8C}</b:Guid>
    <b:Author>
      <b:Author>
        <b:NameList>
          <b:Person>
            <b:Last>Pérez</b:Last>
            <b:First>Michel</b:First>
          </b:Person>
          <b:Person>
            <b:Last>Enrique</b:Last>
            <b:First>José</b:First>
            <b:Middle>Osvaldo</b:Middle>
          </b:Person>
          <b:Person>
            <b:Last>Carbó</b:Last>
            <b:First>José</b:First>
            <b:Middle>Eugenio</b:Middle>
          </b:Person>
          <b:Person>
            <b:Last>González</b:Last>
            <b:First>Marisol</b:First>
          </b:Person>
        </b:NameList>
      </b:Author>
    </b:Author>
    <b:Title>La evaluación formativa en el proceso enseñanza aprendizaje</b:Title>
    <b:JournalName>EDUMECENTRO vol.9 no.3</b:JournalName>
    <b:Year>2017</b:Year>
    <b:Pages>pp.263-283 </b:Pages>
    <b:RefOrder>92</b:RefOrder>
  </b:Source>
  <b:Source>
    <b:Tag>Tal15</b:Tag>
    <b:SourceType>JournalArticle</b:SourceType>
    <b:Guid>{76A11489-2A52-4F9A-905E-15D7C044BDAC}</b:Guid>
    <b:Author>
      <b:Author>
        <b:NameList>
          <b:Person>
            <b:Last>Talanquer</b:Last>
            <b:First>Vicente</b:First>
          </b:Person>
        </b:NameList>
      </b:Author>
    </b:Author>
    <b:Title>La importancia de la evaluación formativa</b:Title>
    <b:JournalName>Educación Química. Vol.26, no.3</b:JournalName>
    <b:Year>2015</b:Year>
    <b:Pages>pp.177-179</b:Pages>
    <b:RefOrder>93</b:RefOrder>
  </b:Source>
  <b:Source>
    <b:Tag>MarcadorDePosición1</b:Tag>
    <b:SourceType>JournalArticle</b:SourceType>
    <b:Guid>{46147768-A8C1-4FC1-BBFC-D1008145060F}</b:Guid>
    <b:Author>
      <b:Author>
        <b:NameList>
          <b:Person>
            <b:Last>Hernández</b:Last>
            <b:First>Cristian</b:First>
          </b:Person>
          <b:Person>
            <b:Last>Polonía</b:Last>
            <b:First>Eduardo</b:First>
          </b:Person>
        </b:NameList>
      </b:Author>
    </b:Author>
    <b:Title>La investigación formativa y la didáctica para la enseñanza y el aprendizaje del mercadeo</b:Title>
    <b:JournalName>Ánfora, vol. 26, núm. 46</b:JournalName>
    <b:Year>2019</b:Year>
    <b:RefOrder>94</b:RefOrder>
  </b:Source>
  <b:Source>
    <b:Tag>Enc18</b:Tag>
    <b:SourceType>ConferenceProceedings</b:SourceType>
    <b:Guid>{7CCC47DD-BFE6-4D3E-A242-CA70EC32F2DE}</b:Guid>
    <b:Title>EL  APORTE  DEL  MARKETING  PARA LA GESTIÓN DE CALIDAD EN INSTITUCIONES  DE  EDUCACIÓN  SUPERIOR </b:Title>
    <b:Year>2018</b:Year>
    <b:Pages>10-39</b:Pages>
    <b:Author>
      <b:Author>
        <b:NameList>
          <b:Person>
            <b:Last>Enciso</b:Last>
            <b:First>Luis</b:First>
            <b:Middle>Felipe</b:Middle>
          </b:Person>
          <b:Person>
            <b:Last>Arenas</b:Last>
            <b:First>Diego</b:First>
            <b:Middle>Arley</b:Middle>
          </b:Person>
        </b:NameList>
      </b:Author>
    </b:Author>
    <b:City>Bogotá</b:City>
    <b:RefOrder>95</b:RefOrder>
  </b:Source>
  <b:Source>
    <b:Tag>Mad21</b:Tag>
    <b:SourceType>InternetSite</b:SourceType>
    <b:Guid>{9B109709-7388-437D-A098-3DFE2B717653}</b:Guid>
    <b:Author>
      <b:Author>
        <b:NameList>
          <b:Person>
            <b:Last>Madiedo</b:Last>
            <b:First>Sandra</b:First>
          </b:Person>
        </b:NameList>
      </b:Author>
    </b:Author>
    <b:Title>¿Hacia dónde va el Marketing en 2021?: “Vivimos en la era de las personas”</b:Title>
    <b:Year>2021</b:Year>
    <b:URL>https://formacion.fundacionhergar.org/hacia-donde-va-el-marketing-en-2021-vivimos-en-la-era-de-las-personas/?web_origen=Google_Ads_Grant_EntradasBlog_Ecuador&amp;gclid=CjwKCAjw8KmLBhB8EiwAQbqNoHP96xi1UVROd6zjSUAdhHYPy5lr0-pPiYDiGQEKjvpImfEY6ALzFBoCCFAQAvD_BwE</b:URL>
    <b:RefOrder>96</b:RefOrder>
  </b:Source>
  <b:Source>
    <b:Tag>Bou20</b:Tag>
    <b:SourceType>DocumentFromInternetSite</b:SourceType>
    <b:Guid>{44D0FD8F-30C3-429F-9BDB-DC857A29A417}</b:Guid>
    <b:Author>
      <b:Author>
        <b:NameList>
          <b:Person>
            <b:Last>Bouza</b:Last>
            <b:First>Eduardo</b:First>
          </b:Person>
        </b:NameList>
      </b:Author>
    </b:Author>
    <b:Title>Síndrome de quemarse por el trabajo (burnout) en los médicos de España</b:Title>
    <b:InternetSiteTitle>Elsevier</b:InternetSiteTitle>
    <b:Year>2020</b:Year>
    <b:Month>septiembre</b:Month>
    <b:Day>1</b:Day>
    <b:URL>https://www.sciencedirect.com/science/article/abs/pii/S0014256520300916</b:URL>
    <b:RefOrder>1</b:RefOrder>
  </b:Source>
  <b:Source>
    <b:Tag>Tor18</b:Tag>
    <b:SourceType>DocumentFromInternetSite</b:SourceType>
    <b:Guid>{04D0C2A3-EE71-4CCA-9309-B1EF526944DC}</b:Guid>
    <b:Author>
      <b:Author>
        <b:NameList>
          <b:Person>
            <b:Last>Torres</b:Last>
            <b:First>José</b:First>
          </b:Person>
        </b:NameList>
      </b:Author>
    </b:Author>
    <b:Title>El teletrabajo en salud laboral</b:Title>
    <b:InternetSiteTitle>Revista Derecho</b:InternetSiteTitle>
    <b:Year>2018</b:Year>
    <b:Month>diciembre</b:Month>
    <b:Day>1</b:Day>
    <b:URL>https://revistas.ces.edu.co/index.php/derecho/article/view/4668</b:URL>
    <b:RefOrder>2</b:RefOrder>
  </b:Source>
  <b:Source>
    <b:Tag>Tar17</b:Tag>
    <b:SourceType>DocumentFromInternetSite</b:SourceType>
    <b:Guid>{47D143CF-F609-4652-8071-54E72EFCD0B7}</b:Guid>
    <b:Author>
      <b:Author>
        <b:NameList>
          <b:Person>
            <b:Last>Tarabla</b:Last>
            <b:First>Héctor</b:First>
          </b:Person>
        </b:NameList>
      </b:Author>
    </b:Author>
    <b:Title>Riesgos laborales en Medicina Veterinaria en América Latina y el Caribe</b:Title>
    <b:InternetSiteTitle>Revista de ciencias veterinarias</b:InternetSiteTitle>
    <b:Year>2017</b:Year>
    <b:Month>octubre</b:Month>
    <b:Day>20</b:Day>
    <b:URL>https://www.revistas.una.ac.cr/index.php/veterinaria/article/view/10093/12278</b:URL>
    <b:RefOrder>3</b:RefOrder>
  </b:Source>
  <b:Source>
    <b:Tag>Ala18</b:Tag>
    <b:SourceType>DocumentFromInternetSite</b:SourceType>
    <b:Guid>{487D8ED4-C48F-4FBA-B135-48980B6995F7}</b:Guid>
    <b:Author>
      <b:Author>
        <b:NameList>
          <b:Person>
            <b:Last>Alarcón</b:Last>
            <b:First>Sivlia</b:First>
          </b:Person>
          <b:Person>
            <b:Last>Maguiña</b:Last>
            <b:First>Kiara</b:First>
          </b:Person>
        </b:NameList>
      </b:Author>
    </b:Author>
    <b:Title>“Implementación de un sistema de gestión de seguridad y salud ocupacional para disminuir los riesgos laborales en el Centro Médico Villa”</b:Title>
    <b:InternetSiteTitle>Universidad César Vallejo</b:InternetSiteTitle>
    <b:Year>2018</b:Year>
    <b:Month>septiembre</b:Month>
    <b:Day>1</b:Day>
    <b:URL>https://repositorio.ucv.edu.pe/handle/20.500.12692/26121</b:URL>
    <b:RefOrder>4</b:RefOrder>
  </b:Source>
  <b:Source>
    <b:Tag>MarcadorDePosición2</b:Tag>
    <b:SourceType>DocumentFromInternetSite</b:SourceType>
    <b:Guid>{E331C12E-A310-43C7-A245-9A21EE67F773}</b:Guid>
    <b:Author>
      <b:Author>
        <b:NameList>
          <b:Person>
            <b:Last>Solís</b:Last>
            <b:First>Laura</b:First>
          </b:Person>
        </b:NameList>
      </b:Author>
    </b:Author>
    <b:Title>Conocimiento y exposición a riesgos laborales del personal de salud en el área quirúrgica</b:Title>
    <b:InternetSiteTitle>Revista Colombiana de Salud Ocupacional</b:InternetSiteTitle>
    <b:Year>2017</b:Year>
    <b:Month>enero</b:Month>
    <b:Day>15</b:Day>
    <b:URL>https://revistas.unilibre.edu.co/index.php/rc_salud_ocupa/article/view/4948</b:URL>
    <b:RefOrder>5</b:RefOrder>
  </b:Source>
  <b:Source>
    <b:Tag>Del21</b:Tag>
    <b:SourceType>DocumentFromInternetSite</b:SourceType>
    <b:Guid>{3E27740A-D00E-4AAF-BB4A-6D3EAB2BC55E}</b:Guid>
    <b:Author>
      <b:Author>
        <b:NameList>
          <b:Person>
            <b:Last>Delgado</b:Last>
            <b:First>Vicente</b:First>
          </b:Person>
        </b:NameList>
      </b:Author>
    </b:Author>
    <b:Title>Estudio comparativo de los riesgos psicosociales laborales entre profesionales médicos</b:Title>
    <b:InternetSiteTitle>Scielo</b:InternetSiteTitle>
    <b:Year>2021</b:Year>
    <b:Month>marzo</b:Month>
    <b:Day>31</b:Day>
    <b:URL>https://scielo.isciii.es/scielo.php?script=sci_arttext&amp;pid=S1132-62552021000100024</b:URL>
    <b:RefOrder>6</b:RefOrder>
  </b:Source>
  <b:Source>
    <b:Tag>Cay19</b:Tag>
    <b:SourceType>DocumentFromInternetSite</b:SourceType>
    <b:Guid>{6ECA1E0B-9DB8-4CF2-9438-39C42B709130}</b:Guid>
    <b:Author>
      <b:Author>
        <b:NameList>
          <b:Person>
            <b:Last>Caycho</b:Last>
            <b:First>Tomás</b:First>
          </b:Person>
        </b:NameList>
      </b:Author>
    </b:Author>
    <b:Title>Síndrome de burnout en médicos de la ciudad de Arequipa (Perú)</b:Title>
    <b:InternetSiteTitle>Scielo</b:InternetSiteTitle>
    <b:Year>2019</b:Year>
    <b:Month>junio</b:Month>
    <b:Day>30</b:Day>
    <b:URL>https://scielo.conicyt.cl/scielo.php?pid=S0717-92272019000200139&amp;script=sci_arttext&amp;tlng=en</b:URL>
    <b:RefOrder>7</b:RefOrder>
  </b:Source>
  <b:Source>
    <b:Tag>Mol17</b:Tag>
    <b:SourceType>DocumentFromInternetSite</b:SourceType>
    <b:Guid>{C2F93713-097E-491D-9EB6-94D47A6D2093}</b:Guid>
    <b:Author>
      <b:Author>
        <b:NameList>
          <b:Person>
            <b:Last>Molineri</b:Last>
            <b:First>Ana</b:First>
          </b:Person>
        </b:NameList>
      </b:Author>
    </b:Author>
    <b:Title>Percepción y prevención de riesgos ocupacionales en veterinarios rurales</b:Title>
    <b:InternetSiteTitle>Inta Digital</b:InternetSiteTitle>
    <b:Year>2017</b:Year>
    <b:Month>noviembre</b:Month>
    <b:Day>1</b:Day>
    <b:URL>https://repositorio.inta.gob.ar/handle/20.500.12123/2771</b:URL>
    <b:RefOrder>8</b:RefOrder>
  </b:Source>
  <b:Source>
    <b:Tag>Min18</b:Tag>
    <b:SourceType>DocumentFromInternetSite</b:SourceType>
    <b:Guid>{55BD3072-9672-41C9-AF02-0B65681D52E4}</b:Guid>
    <b:Author>
      <b:Author>
        <b:NameList>
          <b:Person>
            <b:Last>Mingote</b:Last>
            <b:First>José</b:First>
          </b:Person>
        </b:NameList>
      </b:Author>
    </b:Author>
    <b:Title>La experiencia del Programa de Atención Integral al Médico Enfermo (PAIME) de la Organización Médica Colegial en España</b:Title>
    <b:InternetSiteTitle>Elsevier</b:InternetSiteTitle>
    <b:Year>2018</b:Year>
    <b:Month>diciembre</b:Month>
    <b:Day>11</b:Day>
    <b:URL>https://paimm.fgalatea.org/Upload/Documents/4.pdf</b:URL>
    <b:RefOrder>9</b:RefOrder>
  </b:Source>
  <b:Source>
    <b:Tag>Rub17</b:Tag>
    <b:SourceType>DocumentFromInternetSite</b:SourceType>
    <b:Guid>{909172C2-E1FD-4AB9-99C8-67AFA06C4951}</b:Guid>
    <b:Author>
      <b:Author>
        <b:NameList>
          <b:Person>
            <b:Last>Rubio</b:Last>
            <b:First>Miguel</b:First>
          </b:Person>
        </b:NameList>
      </b:Author>
    </b:Author>
    <b:Title>La mejora continua en la gestión de la prevención de riesgos laborales en la empresa desde la vigilancia colectiva de la salud</b:Title>
    <b:InternetSiteTitle>Revista de la Asociación Española de Especialistas en Medicina del Trabajo</b:InternetSiteTitle>
    <b:Year>2017</b:Year>
    <b:Month>marzo</b:Month>
    <b:Day>15</b:Day>
    <b:URL>https://scielo.isciii.es/scielo.php?pid=S1132-62552017000100005&amp;script=sci_arttext&amp;tlng=en</b:URL>
    <b:RefOrder>10</b:RefOrder>
  </b:Source>
  <b:Source>
    <b:Tag>Sol171</b:Tag>
    <b:SourceType>DocumentFromInternetSite</b:SourceType>
    <b:Guid>{08DEC4D4-EDB5-4B43-B692-FD4DBEE3B3A0}</b:Guid>
    <b:Author>
      <b:Author>
        <b:NameList>
          <b:Person>
            <b:Last>Solís</b:Last>
            <b:First>Risof</b:First>
          </b:Person>
        </b:NameList>
      </b:Author>
    </b:Author>
    <b:Title>Agotamiento profesional: prevalencia y factores asociados en médicos y enfermeras en siete regiones del Perú</b:Title>
    <b:InternetSiteTitle>Scielo</b:InternetSiteTitle>
    <b:Year>2017</b:Year>
    <b:Month>septimbre</b:Month>
    <b:Day>30</b:Day>
    <b:URL>http://www.scielo.org.pe/scielo.php?pid=S1025-55832017000300003&amp;script=sci_arttext&amp;tlng=pt</b:URL>
    <b:RefOrder>11</b:RefOrder>
  </b:Source>
  <b:Source>
    <b:Tag>Val17</b:Tag>
    <b:SourceType>DocumentFromInternetSite</b:SourceType>
    <b:Guid>{253E4308-E59B-4590-838F-CAC6D9E730BF}</b:Guid>
    <b:Author>
      <b:Author>
        <b:NameList>
          <b:Person>
            <b:Last>Valdés</b:Last>
            <b:First>Mario</b:First>
          </b:Person>
        </b:NameList>
      </b:Author>
    </b:Author>
    <b:Title>La superación profesional en salud ocupacional como una necesidad para la atención médica integral </b:Title>
    <b:InternetSiteTitle>Revista cubana de educación médica superior</b:InternetSiteTitle>
    <b:Year>2017</b:Year>
    <b:Month>marzo</b:Month>
    <b:Day>1</b:Day>
    <b:URL>https://www.medigraphic.com/cgi-bin/new/resumen.cgi?IDARTICULO=76461</b:URL>
    <b:RefOrder>12</b:RefOrder>
  </b:Source>
  <b:Source>
    <b:Tag>Pin17</b:Tag>
    <b:SourceType>DocumentFromInternetSite</b:SourceType>
    <b:Guid>{62C8879D-4A9B-438C-91E6-CF415A42554A}</b:Guid>
    <b:Author>
      <b:Author>
        <b:NameList>
          <b:Person>
            <b:Last>Pinet</b:Last>
            <b:First>Michelle</b:First>
          </b:Person>
        </b:NameList>
      </b:Author>
    </b:Author>
    <b:Title>Un estudio de caso sobre condiciones laborales y efectos psicosociales en el personal médico y de enfermería adscrito al servicio de urgencias</b:Title>
    <b:InternetSiteTitle>Revista de psicología</b:InternetSiteTitle>
    <b:Year>2017</b:Year>
    <b:Month>diciembre</b:Month>
    <b:Day>1</b:Day>
    <b:URL>http://www.revistauaricha.umich.mx/ojs_uaricha/index.php/urp/article/view/178</b:URL>
    <b:RefOrder>13</b:RefOrder>
  </b:Source>
  <b:Source>
    <b:Tag>Laz17</b:Tag>
    <b:SourceType>DocumentFromInternetSite</b:SourceType>
    <b:Guid>{E3A099A4-774C-4AAB-9F76-AA49DAE842F8}</b:Guid>
    <b:Author>
      <b:Author>
        <b:NameList>
          <b:Person>
            <b:Last>Lazzaro</b:Last>
            <b:First>Mariana</b:First>
          </b:Person>
        </b:NameList>
      </b:Author>
    </b:Author>
    <b:Title>Riesgos psicosociales e integración profesional de médicos extranjeros: Un estudio sobre el manejo del conflicto en Chile</b:Title>
    <b:InternetSiteTitle>Scielo</b:InternetSiteTitle>
    <b:Year>2017</b:Year>
    <b:Month>octubre</b:Month>
    <b:Day>1</b:Day>
    <b:URL>https://scielo.conicyt.cl/scielo.php?pid=S0034-98872017001001300&amp;script=sci_arttext&amp;tlng=en</b:URL>
    <b:RefOrder>14</b:RefOrder>
  </b:Source>
  <b:Source>
    <b:Tag>Par21</b:Tag>
    <b:SourceType>DocumentFromInternetSite</b:SourceType>
    <b:Guid>{FB3FB597-2138-4ABE-871C-6879C64BC0D1}</b:Guid>
    <b:Author>
      <b:Author>
        <b:NameList>
          <b:Person>
            <b:Last>Pardo</b:Last>
            <b:First>José</b:First>
          </b:Person>
        </b:NameList>
      </b:Author>
    </b:Author>
    <b:Title>Incapacidad laboral, riesgo moral y riesgo laboral.</b:Title>
    <b:InternetSiteTitle>Researchgate</b:InternetSiteTitle>
    <b:Year>2021</b:Year>
    <b:Month>marzo</b:Month>
    <b:Day>1</b:Day>
    <b:URL>https://www.researchgate.net/profile/Jose-Manuel-Pardo/publication/325126950_Incapacidad_laboral_riesgo_moral_y_riesgo_laboral/links/5af98e1e0f7e9b026bf74106/Incapacidad-laboral-riesgo-moral-y-riesgo-laboral.pdf</b:URL>
    <b:RefOrder>15</b:RefOrder>
  </b:Source>
  <b:Source>
    <b:Tag>Jim19</b:Tag>
    <b:SourceType>DocumentFromInternetSite</b:SourceType>
    <b:Guid>{C5EAC672-97C5-44A9-8BEE-8DA5BCC4F86B}</b:Guid>
    <b:Author>
      <b:Author>
        <b:NameList>
          <b:Person>
            <b:Last>Jiménez</b:Last>
            <b:First>Yanina</b:First>
          </b:Person>
        </b:NameList>
      </b:Author>
    </b:Author>
    <b:Title>Factores asociados a depresión en médicos que trabajarán en zonas rurales del Perú</b:Title>
    <b:InternetSiteTitle>Scielo</b:InternetSiteTitle>
    <b:Year>2019</b:Year>
    <b:Month>diciembre</b:Month>
    <b:Day>1</b:Day>
    <b:URL>https://scielo.conicyt.cl/scielo.php?pid=S0717-92272019000400320&amp;script=sci_arttext&amp;tlng=e</b:URL>
    <b:RefOrder>16</b:RefOrder>
  </b:Source>
  <b:Source>
    <b:Tag>Gal07</b:Tag>
    <b:SourceType>DocumentFromInternetSite</b:SourceType>
    <b:Guid>{964F41DF-CCB4-4808-B9AA-9386F7F066E5}</b:Guid>
    <b:Author>
      <b:Author>
        <b:NameList>
          <b:Person>
            <b:Last>Galíndez</b:Last>
            <b:First>Luis</b:First>
          </b:Person>
        </b:NameList>
      </b:Author>
    </b:Author>
    <b:Title>Riesgos Laborales de los Trabajadores de la Salud</b:Title>
    <b:InternetSiteTitle>Scielo</b:InternetSiteTitle>
    <b:Year>2007</b:Year>
    <b:Month>diciembre</b:Month>
    <b:Day>1</b:Day>
    <b:URL>http://ve.scielo.org/scielo.php?script=sci_arttext&amp;pid=S1315-01382007000200001</b:URL>
    <b:RefOrder>17</b:RefOrder>
  </b:Source>
  <b:Source>
    <b:Tag>Mén19</b:Tag>
    <b:SourceType>DocumentFromInternetSite</b:SourceType>
    <b:Guid>{FE9F5C53-EF02-4EE8-9067-FC8941B78C96}</b:Guid>
    <b:Author>
      <b:Author>
        <b:NameList>
          <b:Person>
            <b:Last>Méndez</b:Last>
            <b:First>Juana</b:First>
          </b:Person>
        </b:NameList>
      </b:Author>
    </b:Author>
    <b:Title>Implementación de un sistema de Gestión de Seguridad y Salud Ocupacional </b:Title>
    <b:InternetSiteTitle>Dspace</b:InternetSiteTitle>
    <b:Year>2019</b:Year>
    <b:Month>diciembre</b:Month>
    <b:URL>https://dspace.ups.edu.ec/bitstream/123456789/10454/1/UPS-GT001548.pdf</b:URL>
    <b:RefOrder>18</b:RefOrder>
  </b:Source>
  <b:Source>
    <b:Tag>WuJ03</b:Tag>
    <b:SourceType>Book</b:SourceType>
    <b:Guid>{F888C6F9-A60C-4E2F-8DB6-075DF190EEBE}</b:Guid>
    <b:Author>
      <b:Author>
        <b:NameList>
          <b:Person>
            <b:Last>Wu</b:Last>
            <b:First>J.</b:First>
            <b:Middle>H., &amp; Wang, Y. M.</b:Middle>
          </b:Person>
        </b:NameList>
      </b:Author>
    </b:Author>
    <b:Title>Enterprise resource planning experience in Taiwan: an empirical study comparative analysis</b:Title>
    <b:Year>2003</b:Year>
    <b:City>Honolulu</b:City>
    <b:Publisher>IEEE</b:Publisher>
    <b:RefOrder>1</b:RefOrder>
  </b:Source>
  <b:Source>
    <b:Tag>Bah07</b:Tag>
    <b:SourceType>JournalArticle</b:SourceType>
    <b:Guid>{0CE857B7-AB20-42C5-8A10-6DD12D8D7976}</b:Guid>
    <b:Title>An assessment of facilitators and inhibitors for the adoption of enterprise application integration technology: An empirical study</b:Title>
    <b:Year>2007</b:Year>
    <b:Author>
      <b:Author>
        <b:NameList>
          <b:Person>
            <b:Last>Bahli</b:Last>
            <b:First>B.,</b:First>
            <b:Middle>&amp; Ji, F.</b:Middle>
          </b:Person>
        </b:NameList>
      </b:Author>
    </b:Author>
    <b:JournalName>Business Process Management Journal</b:JournalName>
    <b:RefOrder>2</b:RefOrder>
  </b:Source>
  <b:Source>
    <b:Tag>Jes06</b:Tag>
    <b:SourceType>JournalArticle</b:SourceType>
    <b:Guid>{3E0D4E92-8721-40E9-83E6-DC8D809ECAE0}</b:Guid>
    <b:Author>
      <b:Author>
        <b:NameList>
          <b:Person>
            <b:Last>Jesus</b:Last>
            <b:First>R.</b:First>
            <b:Middle>G. D., &amp; Oliveira, M. O. F. D.</b:Middle>
          </b:Person>
        </b:NameList>
      </b:Author>
    </b:Author>
    <b:Title>Implementation of ERP systems: tecnology and people in SAP R/3 implementation</b:Title>
    <b:JournalName>JISTEM-Journal of Information Systems and Technology Management</b:JournalName>
    <b:Year>2006</b:Year>
    <b:Pages>315-329</b:Pages>
    <b:RefOrder>3</b:RefOrder>
  </b:Source>
  <b:Source>
    <b:Tag>Tru11</b:Tag>
    <b:SourceType>Book</b:SourceType>
    <b:Guid>{594E4C00-5750-4B24-928B-34FD54DB963F}</b:Guid>
    <b:Title>Procedimiento para la determinación de los procesos para la gestión del desarrollo local en el Gobierno de Villa Clara </b:Title>
    <b:Year>2011</b:Year>
    <b:Author>
      <b:Author>
        <b:NameList>
          <b:Person>
            <b:Last>Trujillo Barroso</b:Last>
            <b:First>D.</b:First>
          </b:Person>
        </b:NameList>
      </b:Author>
    </b:Author>
    <b:Publisher>Universidad Martha Abreu</b:Publisher>
    <b:RefOrder>4</b:RefOrder>
  </b:Source>
  <b:Source>
    <b:Tag>Sán14</b:Tag>
    <b:SourceType>JournalArticle</b:SourceType>
    <b:Guid>{AF8A13AC-9B6A-4AF0-91AF-1EC02E74BF7D}</b:Guid>
    <b:Title>La Gestión por Procesos. Un campo por explorar</b:Title>
    <b:Year>2014</b:Year>
    <b:Author>
      <b:Author>
        <b:NameList>
          <b:Person>
            <b:Last>Sánchez</b:Last>
            <b:First>L.,</b:First>
            <b:Middle>&amp; Blanco, B.</b:Middle>
          </b:Person>
        </b:NameList>
      </b:Author>
    </b:Author>
    <b:JournalName>Dirección y Organización</b:JournalName>
    <b:Pages>54-71</b:Pages>
    <b:RefOrder>5</b:RefOrder>
  </b:Source>
  <b:Source>
    <b:Tag>Amo99</b:Tag>
    <b:SourceType>Book</b:SourceType>
    <b:Guid>{E407F2EB-83B7-4B2D-888A-ACB07154AD7C}</b:Guid>
    <b:Author>
      <b:Author>
        <b:NameList>
          <b:Person>
            <b:Last>Amozarrain</b:Last>
            <b:First>M.</b:First>
          </b:Person>
        </b:NameList>
      </b:Author>
    </b:Author>
    <b:Title>La gestión por procesos. </b:Title>
    <b:Year>1999</b:Year>
    <b:Publisher>Editorial Mondragón Corporación Cooperativa, España.</b:Publisher>
    <b:RefOrder>6</b:RefOrder>
  </b:Source>
  <b:Source>
    <b:Tag>Col08</b:Tag>
    <b:SourceType>JournalArticle</b:SourceType>
    <b:Guid>{F309710E-7D39-465D-B9CF-C097B0743B3F}</b:Guid>
    <b:Author>
      <b:Author>
        <b:NameList>
          <b:Person>
            <b:Last>Colmenares</b:Last>
            <b:First>L.</b:First>
          </b:Person>
        </b:NameList>
      </b:Author>
    </b:Author>
    <b:Title>Factores críticos de éxito para implantar sistemas empresariales en pequeñas y medianas empresas en Venezuela</b:Title>
    <b:JournalName>Universidad, Ciencia y Tecnología</b:JournalName>
    <b:Year>2008</b:Year>
    <b:Pages>31-38</b:Pages>
    <b:RefOrder>7</b:RefOrder>
  </b:Source>
  <b:Source>
    <b:Tag>Est13</b:Tag>
    <b:SourceType>JournalArticle</b:SourceType>
    <b:Guid>{390C86FC-388F-4E34-B077-327F153FEECA}</b:Guid>
    <b:Author>
      <b:Author>
        <b:NameList>
          <b:Person>
            <b:Last>Estrada-Hernández</b:Last>
            <b:First>J.</b:First>
            <b:Middle>A., &amp; León-Robainan, C. R.</b:Middle>
          </b:Person>
        </b:NameList>
      </b:Author>
    </b:Author>
    <b:Title>La integración de las tecnologías de información y comunicación en la gestión empresarial</b:Title>
    <b:JournalName>Santiago </b:JournalName>
    <b:Year>2013</b:Year>
    <b:Pages>634-647</b:Pages>
    <b:RefOrder>8</b:RefOrder>
  </b:Source>
  <b:Source>
    <b:Tag>Qui17</b:Tag>
    <b:SourceType>JournalArticle</b:SourceType>
    <b:Guid>{95F036D2-E9F3-4446-A6B2-DC4DE1CD6711}</b:Guid>
    <b:Author>
      <b:Author>
        <b:NameList>
          <b:Person>
            <b:Last>Quispe-Otacoma</b:Last>
            <b:First>A.</b:First>
            <b:Middle>L., Padilla-Martínez, M. P., Telot-González, J. A., &amp; Nogueira-Rivera, D.</b:Middle>
          </b:Person>
        </b:NameList>
      </b:Author>
    </b:Author>
    <b:Title>Tecnologías de información y comunicación en la gestión empresarial de pymes comerciales</b:Title>
    <b:JournalName>Ingeniería Industrial</b:JournalName>
    <b:Year>2017</b:Year>
    <b:Pages>81-92</b:Pages>
    <b:RefOrder>9</b:RefOrder>
  </b:Source>
  <b:Source>
    <b:Tag>Bro99</b:Tag>
    <b:SourceType>Book</b:SourceType>
    <b:Guid>{BCC5F621-F9BB-45C9-8575-A464918FE5CE}</b:Guid>
    <b:Title>ERP implementation approaches: toward a contingency framework</b:Title>
    <b:Year>1999</b:Year>
    <b:Author>
      <b:Author>
        <b:NameList>
          <b:Person>
            <b:Last>Brown</b:Last>
            <b:First>C.,</b:First>
            <b:Middle>&amp; Vessey, I.</b:Middle>
          </b:Person>
        </b:NameList>
      </b:Author>
    </b:Author>
    <b:City>Charlotte</b:City>
    <b:RefOrder>10</b:RefOrder>
  </b:Source>
  <b:Source>
    <b:Tag>Mel10</b:Tag>
    <b:SourceType>JournalArticle</b:SourceType>
    <b:Guid>{D64F45DF-75AF-4859-AC61-AD7FF2BA1FFE}</b:Guid>
    <b:Title>Knowledge management for improving business processes: an analysis of the transport management process for indivisible exceptional cargo</b:Title>
    <b:Year>2010</b:Year>
    <b:Author>
      <b:Author>
        <b:NameList>
          <b:Person>
            <b:Last>Melo</b:Last>
            <b:First>A.</b:First>
            <b:Middle>C. S., Netto, M. A. C., Ferreira Filho, V. J. M., &amp; Fernandes, E.</b:Middle>
          </b:Person>
        </b:NameList>
      </b:Author>
    </b:Author>
    <b:JournalName>Pesquisa Operacional</b:JournalName>
    <b:Pages>305-330</b:Pages>
    <b:RefOrder>11</b:RefOrder>
  </b:Source>
  <b:Source>
    <b:Tag>Roa08</b:Tag>
    <b:SourceType>JournalArticle</b:SourceType>
    <b:Guid>{946E81D6-D54B-4754-96C0-60AF78963BBF}</b:Guid>
    <b:Author>
      <b:Author>
        <b:NameList>
          <b:Person>
            <b:Last>Roalcaba</b:Last>
            <b:First>R.</b:First>
            <b:Middle>M. V., &amp; Apaza, E. M. P. (2008).</b:Middle>
          </b:Person>
        </b:NameList>
      </b:Author>
    </b:Author>
    <b:Title>Metodología para el tratamiento de riesgos empresariales</b:Title>
    <b:JournalName>Ciencia y Desarrollo</b:JournalName>
    <b:Year>2008</b:Year>
    <b:Pages>107-110</b:Pages>
    <b:RefOrder>12</b:RefOrder>
  </b:Source>
  <b:Source>
    <b:Tag>Zar99</b:Tag>
    <b:SourceType>JournalArticle</b:SourceType>
    <b:Guid>{0AED48C3-A3E8-4480-8515-1B3A01E25FAF}</b:Guid>
    <b:Author>
      <b:Author>
        <b:NameList>
          <b:Person>
            <b:Last>Zaratiegui</b:Last>
            <b:First>J.</b:First>
            <b:Middle>R.</b:Middle>
          </b:Person>
        </b:NameList>
      </b:Author>
    </b:Author>
    <b:Title>La gestión por procesos: Su papel e importancia</b:Title>
    <b:JournalName>Economía industrial</b:JournalName>
    <b:Year>1999</b:Year>
    <b:Pages>81-82</b:Pages>
    <b:RefOrder>13</b:RefOrder>
  </b:Source>
  <b:Source>
    <b:Tag>Riv02</b:Tag>
    <b:SourceType>JournalArticle</b:SourceType>
    <b:Guid>{FE8C654D-67C5-4092-9006-96C2B44EC1B5}</b:Guid>
    <b:Author>
      <b:Author>
        <b:NameList>
          <b:Person>
            <b:Last>Rivera</b:Last>
            <b:First>D.</b:First>
            <b:Middle>N., Maden, R. H., León, A. M., &amp; Tápanes, L. Q.</b:Middle>
          </b:Person>
        </b:NameList>
      </b:Author>
    </b:Author>
    <b:Title>Procesos internos y dimensión financiera del Control de Gestión</b:Title>
    <b:JournalName>Ingeniería Industrial</b:JournalName>
    <b:Year>2002</b:Year>
    <b:RefOrder>14</b:RefOrder>
  </b:Source>
  <b:Source>
    <b:Tag>Har91</b:Tag>
    <b:SourceType>Book</b:SourceType>
    <b:Guid>{BFCFE858-260F-4A26-9408-549F95E8ACEA}</b:Guid>
    <b:Title>El proceso de mejoramiento. Como las empresas punteras norteamericanas mejoran la calidad</b:Title>
    <b:Year>1991</b:Year>
    <b:Author>
      <b:Author>
        <b:NameList>
          <b:Person>
            <b:Last>Harrington</b:Last>
            <b:First>H.</b:First>
            <b:Middle>J.</b:Middle>
          </b:Person>
        </b:NameList>
      </b:Author>
    </b:Author>
    <b:City>Wisconsin. USA.</b:City>
    <b:Publisher>Caulity Pres</b:Publisher>
    <b:RefOrder>15</b:RefOrder>
  </b:Source>
  <b:Source>
    <b:Tag>Mon09</b:Tag>
    <b:SourceType>JournalArticle</b:SourceType>
    <b:Guid>{516F8301-3697-44B4-B1EE-6E3998C04A94}</b:Guid>
    <b:Title>El desarrollo de habilidades investigativas en la educación superior: un acercamiento para su desarrollo</b:Title>
    <b:Year>2009</b:Year>
    <b:Author>
      <b:Author>
        <b:NameList>
          <b:Person>
            <b:Last>Montes de Oca Recio</b:Last>
            <b:First>N.,</b:First>
            <b:Middle>&amp; Machado Ramírez, E. F.</b:Middle>
          </b:Person>
        </b:NameList>
      </b:Author>
    </b:Author>
    <b:JournalName>Humanidades Médicas</b:JournalName>
    <b:RefOrder>16</b:RefOrder>
  </b:Source>
  <b:Source>
    <b:Tag>Rui06</b:Tag>
    <b:SourceType>JournalArticle</b:SourceType>
    <b:Guid>{42BEC7B9-03FC-47D0-BBB4-B52D7BEF2537}</b:Guid>
    <b:Title>Los Mitos acerca de la Seguridad Local y la Policía Comunitaria</b:Title>
    <b:Year>2006</b:Year>
    <b:City>Bogotá</b:City>
    <b:Publisher>Universidad del Rosari</b:Publisher>
    <b:Author>
      <b:Author>
        <b:NameList>
          <b:Person>
            <b:Last>Ruiz</b:Last>
            <b:First>Juan Carlos </b:First>
          </b:Person>
        </b:NameList>
      </b:Author>
    </b:Author>
    <b:JournalName>Ciencia Política y Gobierno. Grupo de Estudios Regionales, Borradores de Investigación</b:JournalName>
    <b:Pages>3-26</b:Pages>
    <b:RefOrder>17</b:RefOrder>
  </b:Source>
  <b:Source>
    <b:Tag>Tud07</b:Tag>
    <b:SourceType>Book</b:SourceType>
    <b:Guid>{367B8A5A-D9D3-43F9-999F-0A0883EB9323}</b:Guid>
    <b:Title>Reforma policial, COP y POP: Perspectivas latinoamericanas de aplicación y paradigmas de gestión policial dirigida a la comunidad</b:Title>
    <b:Year>2007</b:Year>
    <b:Author>
      <b:Author>
        <b:NameList>
          <b:Person>
            <b:Last>Tudela</b:Last>
            <b:First>Patricio </b:First>
          </b:Person>
        </b:NameList>
      </b:Author>
    </b:Author>
    <b:City>Chile</b:City>
    <b:Publisher>Policía de investigaciones de Chile</b:Publisher>
    <b:RefOrder>18</b:RefOrder>
  </b:Source>
  <b:Source>
    <b:Tag>Lib08</b:Tag>
    <b:SourceType>Book</b:SourceType>
    <b:Guid>{8881254F-B315-4E1C-9385-5759279B9932}</b:Guid>
    <b:Title>POLÍTICA DE SEGURIDAD CIUDADANA EN BOGOT</b:Title>
    <b:Year>2008</b:Year>
    <b:City>Bogotá</b:City>
    <b:Publisher>FESCOL</b:Publisher>
    <b:Author>
      <b:Author>
        <b:NameList>
          <b:Person>
            <b:Last>Libreros</b:Last>
            <b:First>Jairo </b:First>
          </b:Person>
        </b:NameList>
      </b:Author>
    </b:Author>
    <b:RefOrder>19</b:RefOrder>
  </b:Source>
  <b:Source>
    <b:Tag>LBr99</b:Tag>
    <b:SourceType>JournalArticle</b:SourceType>
    <b:Guid>{AE87C376-CCF9-4675-8FF8-D44840B5D3E1}</b:Guid>
    <b:Title>Random Forest</b:Title>
    <b:Year>1999</b:Year>
    <b:Author>
      <b:Author>
        <b:NameList>
          <b:Person>
            <b:Last>L</b:Last>
            <b:First>Breiman</b:First>
          </b:Person>
        </b:NameList>
      </b:Author>
    </b:Author>
    <b:JournalName>Machine Learning</b:JournalName>
    <b:Pages>5-32</b:Pages>
    <b:Volume>45</b:Volume>
    <b:Issue>1</b:Issue>
    <b:RefOrder>20</b:RefOrder>
  </b:Source>
  <b:Source>
    <b:Tag>JRQ99</b:Tag>
    <b:SourceType>JournalArticle</b:SourceType>
    <b:Guid>{278EA89D-5164-43ED-9F6D-F4912B2ABDCD}</b:Guid>
    <b:Title>C4.5</b:Title>
    <b:JournalName>Programs for machine learning</b:JournalName>
    <b:Year>1999</b:Year>
    <b:Pages>544-555</b:Pages>
    <b:Author>
      <b:Author>
        <b:NameList>
          <b:Person>
            <b:Last>J.R.</b:Last>
            <b:First>Quinlan</b:First>
          </b:Person>
        </b:NameList>
      </b:Author>
    </b:Author>
    <b:DOI>10.1.1.104.152&amp;rep=rep1&amp;type=pdf</b:DOI>
    <b:RefOrder>21</b:RefOrder>
  </b:Source>
  <b:Source>
    <b:Tag>PGe95</b:Tag>
    <b:SourceType>JournalArticle</b:SourceType>
    <b:Guid>{33F392FC-386C-4E31-A887-9376A38E57E8}</b:Guid>
    <b:Title>Estimating Continuous Distributions in Bayesian Classifiers</b:Title>
    <b:JournalName>In proceedings of the Eleventh Conference on Uncertainty in Artificial Intelligence</b:JournalName>
    <b:Year>1995</b:Year>
    <b:Pages>1-8</b:Pages>
    <b:Author>
      <b:Author>
        <b:NameList>
          <b:Person>
            <b:Last>P.</b:Last>
            <b:First>George John</b:First>
          </b:Person>
        </b:NameList>
      </b:Author>
    </b:Author>
    <b:RefOrder>22</b:RefOrder>
  </b:Source>
  <b:Source>
    <b:Tag>KNI04</b:Tag>
    <b:SourceType>JournalArticle</b:SourceType>
    <b:Guid>{3A9A5C0A-3870-4644-A902-FD22B54C6AEE}</b:Guid>
    <b:Title>Konstanz Information Miner</b:Title>
    <b:JournalName>KNIME</b:JournalName>
    <b:Year>2004</b:Year>
    <b:Author>
      <b:Author>
        <b:NameList>
          <b:Person>
            <b:Last>KNIME</b:Last>
          </b:Person>
        </b:NameList>
      </b:Author>
    </b:Author>
    <b:RefOrder>23</b:RefOrder>
  </b:Source>
  <b:Source>
    <b:Tag>INE19</b:Tag>
    <b:SourceType>DocumentFromInternetSite</b:SourceType>
    <b:Guid>{AEBCD035-2CC0-4CA7-8E33-95DE74120FA2}</b:Guid>
    <b:Title>Directorio de Empresas y Establecimientos 2018</b:Title>
    <b:InternetSiteTitle>Instituto Nacional de Estadísticas y Censos</b:InternetSiteTitle>
    <b:Year>2019</b:Year>
    <b:Month>Noviembre</b:Month>
    <b:URL>https://www.ecuadorencifras.gob.ec/documentos/web-inec/Estadisticas_Economicas/DirectorioEmpresas/140210%20DirEmpresas%20final3.pdf</b:URL>
    <b:Author>
      <b:Author>
        <b:Corporate>INEC</b:Corporate>
      </b:Author>
    </b:Author>
    <b:RefOrder>1</b:RefOrder>
  </b:Source>
  <b:Source>
    <b:Tag>Equ211</b:Tag>
    <b:SourceType>InternetSite</b:SourceType>
    <b:Guid>{0B8E81DD-6940-47FC-80C6-B7D17BA3C77C}</b:Guid>
    <b:Author>
      <b:Author>
        <b:Corporate>Equipo editorial Etecé </b:Corporate>
      </b:Author>
    </b:Author>
    <b:Title>Microempresa</b:Title>
    <b:InternetSiteTitle>Concepto.de.</b:InternetSiteTitle>
    <b:Year>2021</b:Year>
    <b:Month>agosto</b:Month>
    <b:Day>5</b:Day>
    <b:URL>https://concepto.de/microempresa/</b:URL>
    <b:RefOrder>2</b:RefOrder>
  </b:Source>
  <b:Source>
    <b:Tag>Men21</b:Tag>
    <b:SourceType>JournalArticle</b:SourceType>
    <b:Guid>{6FA2D30E-827B-4043-9FB3-E945D9888A05}</b:Guid>
    <b:Title>Desarrollo empresarial de las mipymes ecuatorianas: su evolución 2015-2020.</b:Title>
    <b:Year>2021</b:Year>
    <b:URL>https://revistapublicando.org/revista/index.php/crv/article/view/2253/2460</b:URL>
    <b:Author>
      <b:Author>
        <b:NameList>
          <b:Person>
            <b:Last>Mendoza Mieles</b:Last>
            <b:First>José</b:First>
          </b:Person>
          <b:Person>
            <b:Last>Macías Macías</b:Last>
            <b:First>Gema</b:First>
          </b:Person>
          <b:Person>
            <b:Last>Parrales Poveda</b:Last>
            <b:First>María</b:First>
          </b:Person>
        </b:NameList>
      </b:Author>
    </b:Author>
    <b:JournalName>Revista Publicando</b:JournalName>
    <b:Pages>320-337</b:Pages>
    <b:Volume>8</b:Volume>
    <b:Issue>31</b:Issue>
    <b:DOI> https://doi.org/10.51528/rp.vol8.id2253</b:DOI>
    <b:RefOrder>3</b:RefOrder>
  </b:Source>
  <b:Source>
    <b:Tag>Sal16</b:Tag>
    <b:SourceType>InternetSite</b:SourceType>
    <b:Guid>{432FC524-43E8-4FA5-B06F-7E37E2E0E291}</b:Guid>
    <b:Author>
      <b:Author>
        <b:NameList>
          <b:Person>
            <b:Last>Salazar López</b:Last>
            <b:First>Bryan</b:First>
          </b:Person>
        </b:NameList>
      </b:Author>
    </b:Author>
    <b:Title>¿Qué son las Actividades Económicas?</b:Title>
    <b:InternetSiteTitle>ABCFinanzas.com</b:InternetSiteTitle>
    <b:Year>2016</b:Year>
    <b:Month>noviembre</b:Month>
    <b:Day>26</b:Day>
    <b:URL>https://abcfinanzas.com/principios-de-economia/actividades-economicas/</b:URL>
    <b:RefOrder>4</b:RefOrder>
  </b:Source>
  <b:Source>
    <b:Tag>Act17</b:Tag>
    <b:SourceType>InternetSite</b:SourceType>
    <b:Guid>{928D2D5D-155F-4CE7-93E3-37A8AEBAF0B4}</b:Guid>
    <b:Title>Actividad comercial</b:Title>
    <b:InternetSiteTitle>Enciclopedia Económica</b:InternetSiteTitle>
    <b:Year>2017</b:Year>
    <b:URL>https://enciclopediaeconomica.com/actividad-comercial/</b:URL>
    <b:Author>
      <b:Author>
        <b:Corporate>Editorial Grudemi</b:Corporate>
      </b:Author>
    </b:Author>
    <b:RefOrder>5</b:RefOrder>
  </b:Source>
  <b:Source>
    <b:Tag>Leó19</b:Tag>
    <b:SourceType>DocumentFromInternetSite</b:SourceType>
    <b:Guid>{FDDF9A3E-ECDB-4220-98B9-87BDA6E201FB}</b:Guid>
    <b:Title>INCIDENCIA DEL MARKETING DIGITAL EN LAS MICROEMPRESAS DE SERVICIO DE COMIDA RÁPIDA EN EL CANTÓN MILAGRO</b:Title>
    <b:Year>2019</b:Year>
    <b:Author>
      <b:Author>
        <b:NameList>
          <b:Person>
            <b:Last>León Uriarte</b:Last>
            <b:First>Karla</b:First>
          </b:Person>
          <b:Person>
            <b:Last>Medina Fiallos</b:Last>
            <b:First>Andrea</b:First>
          </b:Person>
        </b:NameList>
      </b:Author>
    </b:Author>
    <b:InternetSiteTitle>Repositorio UNEMI</b:InternetSiteTitle>
    <b:Month>Octubre</b:Month>
    <b:URL>http://repositorio.unemi.edu.ec/bitstream/123456789/4930/1/2.%20INCIDENCIA%20DEL%20MARKETING%20DIGITAL%20EN%20LAS%20MICROEMPRESAS%20DE%20SERVICIO%20DE%20COMIDA%20R%C3%81PIDA%20EN%20EL%20CANT%C3%93.pdf</b:URL>
    <b:RefOrder>6</b:RefOrder>
  </b:Source>
  <b:Source>
    <b:Tag>Six14</b:Tag>
    <b:SourceType>JournalArticle</b:SourceType>
    <b:Guid>{0CCCB0D6-7662-4DE4-894F-2F4B91BADB1A}</b:Guid>
    <b:Title>Marketing hasta la última definición de la AMA (American Marketing Association)</b:Title>
    <b:Year>2014</b:Year>
    <b:JournalName>Revista de la Asociación Española de Investigación de la Comunicación</b:JournalName>
    <b:Pages>124-132</b:Pages>
    <b:Author>
      <b:Author>
        <b:NameList>
          <b:Person>
            <b:Last>Sixto García</b:Last>
            <b:First>José</b:First>
          </b:Person>
        </b:NameList>
      </b:Author>
    </b:Author>
    <b:Volume>1</b:Volume>
    <b:Issue>2</b:Issue>
    <b:URL>http://www.revistaeic.eu/index.php/raeic/article/view/163/141</b:URL>
    <b:DOI>https://doi.org/10.24137/raeic.1.2.15</b:DOI>
    <b:RefOrder>7</b:RefOrder>
  </b:Source>
  <b:Source>
    <b:Tag>Mor16</b:Tag>
    <b:SourceType>InternetSite</b:SourceType>
    <b:Guid>{AB6FA309-B251-450E-984D-34B6F6C1658A}</b:Guid>
    <b:Title>¿Por qué es importante el marketing en una empresa?</b:Title>
    <b:Year>2016</b:Year>
    <b:Author>
      <b:Author>
        <b:Corporate>Morante Asesores</b:Corporate>
      </b:Author>
    </b:Author>
    <b:InternetSiteTitle>Asesores Tributarios Morante</b:InternetSiteTitle>
    <b:Month>Noviembre</b:Month>
    <b:Day>28</b:Day>
    <b:URL>https://www.moranteasesores.es/importante-marketing-una-empresa/</b:URL>
    <b:RefOrder>8</b:RefOrder>
  </b:Source>
  <b:Source>
    <b:Tag>Gru22</b:Tag>
    <b:SourceType>InternetSite</b:SourceType>
    <b:Guid>{95BECA86-72B8-45C3-81F6-867CF2AB27A1}</b:Guid>
    <b:Author>
      <b:Author>
        <b:Corporate>Grupo Elevación Digital</b:Corporate>
      </b:Author>
    </b:Author>
    <b:Title>Todo sobre el marketing</b:Title>
    <b:InternetSiteTitle>Elevación Digital</b:InternetSiteTitle>
    <b:Year>2022</b:Year>
    <b:URL>https://elevaciondigital.pe/blog/todo-sobre-el-marketing/#:~:text=El%20marketing%20es%20el%20proceso,los%20consumidores%2C%20clientes%2C%20socios.</b:URL>
    <b:RefOrder>9</b:RefOrder>
  </b:Source>
  <b:Source>
    <b:Tag>Mar28</b:Tag>
    <b:SourceType>InternetSite</b:SourceType>
    <b:Guid>{98B6B9EE-C2B8-46F3-A29C-CBDC1CA1D338}</b:Guid>
    <b:Author>
      <b:Author>
        <b:Corporate>Mare Nostrum Edition</b:Corporate>
      </b:Author>
    </b:Author>
    <b:Title>¿Cuántos tipos de marketing existen?</b:Title>
    <b:InternetSiteTitle>MARE NOSTRUM: Business School</b:InternetSiteTitle>
    <b:Year>28</b:Year>
    <b:Month>abril</b:Month>
    <b:Day>2021</b:Day>
    <b:URL>https://escuelamarenostrum.com/cuantos-tipos-de-marketing-existen/</b:URL>
    <b:RefOrder>10</b:RefOrder>
  </b:Source>
  <b:Source>
    <b:Tag>Uri21</b:Tag>
    <b:SourceType>JournalArticle</b:SourceType>
    <b:Guid>{36FCB102-9B9E-499C-A3B6-436B1D0E7EA1}</b:Guid>
    <b:Title>Marketing digital en micro y pequeñas empresas de publicidad de Bogotá.</b:Title>
    <b:Year>2021</b:Year>
    <b:URL>https://www.redalyc.org/journal/1872/187265084004/html/</b:URL>
    <b:Author>
      <b:Author>
        <b:NameList>
          <b:Person>
            <b:Last>Uribe Beltrán</b:Last>
            <b:First>Clara</b:First>
          </b:Person>
          <b:Person>
            <b:Last>Sabogal Neira</b:Last>
            <b:First>Daniel</b:First>
          </b:Person>
        </b:NameList>
      </b:Author>
    </b:Author>
    <b:JournalName>Revista Universidad &amp; Empresa</b:JournalName>
    <b:Pages>1-22</b:Pages>
    <b:Volume>23</b:Volume>
    <b:Issue>40</b:Issue>
    <b:DOI>https://doi.org/10.12804/revistas.urosario.edu.co/empresa/a.8730</b:DOI>
    <b:RefOrder>11</b:RefOrder>
  </b:Source>
  <b:Source>
    <b:Tag>Sel17</b:Tag>
    <b:SourceType>Book</b:SourceType>
    <b:Guid>{F3C17321-6449-4FF9-9CF6-4E3DC282A6D5}</b:Guid>
    <b:Title>Marketing Digital</b:Title>
    <b:Year>2017</b:Year>
    <b:Author>
      <b:Author>
        <b:NameList>
          <b:Person>
            <b:Last>Selman</b:Last>
            <b:First>Habyb</b:First>
          </b:Person>
        </b:NameList>
      </b:Author>
    </b:Author>
    <b:City>California</b:City>
    <b:Publisher>IBUKKU</b:Publisher>
    <b:RefOrder>12</b:RefOrder>
  </b:Source>
  <b:Source>
    <b:Tag>Afr15</b:Tag>
    <b:SourceType>JournalArticle</b:SourceType>
    <b:Guid>{DB40E3FF-2270-4A82-BE16-B512B23D1E01}</b:Guid>
    <b:Title>Digital Marketing in the Challenging Age: An Empirical study</b:Title>
    <b:JournalName>Researchleap</b:JournalName>
    <b:Year>2015</b:Year>
    <b:Pages>1-12</b:Pages>
    <b:Author>
      <b:Author>
        <b:NameList>
          <b:Person>
            <b:Last>Afrina</b:Last>
            <b:First>Y.</b:First>
          </b:Person>
          <b:Person>
            <b:Last>Tasneem</b:Last>
            <b:First>S.</b:First>
          </b:Person>
          <b:Person>
            <b:Last>Kaniz</b:Last>
            <b:First>F.</b:First>
          </b:Person>
        </b:NameList>
      </b:Author>
    </b:Author>
    <b:URL>https://researchleap.com/category/international-journal-of-management-science-and-business-administration/</b:URL>
    <b:Volume>1</b:Volume>
    <b:RefOrder>13</b:RefOrder>
  </b:Source>
  <b:Source>
    <b:Tag>Tol15</b:Tag>
    <b:SourceType>JournalArticle</b:SourceType>
    <b:Guid>{129AC826-0A45-4FAC-8335-46624EFF0E07}</b:Guid>
    <b:Author>
      <b:Author>
        <b:NameList>
          <b:Person>
            <b:Last>Toledano</b:Last>
            <b:First>F</b:First>
          </b:Person>
        </b:NameList>
      </b:Author>
    </b:Author>
    <b:Title>Herramientas de marketing de contenido para la generación de tráfico cualificado online</b:Title>
    <b:Year>2015</b:Year>
    <b:Pages>978-996.</b:Pages>
    <b:JournalName>Serbiluz, Sistema de Servicios Bibliotecarios y de Información</b:JournalName>
    <b:RefOrder>14</b:RefOrder>
  </b:Source>
  <b:Source>
    <b:Tag>Sal97</b:Tag>
    <b:SourceType>Book</b:SourceType>
    <b:Guid>{C7C0F9F2-2DA7-4A6F-A941-04A5B67F23CE}</b:Guid>
    <b:Author>
      <b:Author>
        <b:NameList>
          <b:Person>
            <b:Last>Salkind</b:Last>
            <b:First>Neil</b:First>
          </b:Person>
        </b:NameList>
      </b:Author>
    </b:Author>
    <b:Title>Metodos de Investigación</b:Title>
    <b:Year>1997</b:Year>
    <b:City>Mexico</b:City>
    <b:Publisher>Prentice-Hall</b:Publisher>
    <b:RefOrder>15</b:RefOrder>
  </b:Source>
  <b:Source>
    <b:Tag>Est02</b:Tag>
    <b:SourceType>Book</b:SourceType>
    <b:Guid>{EA8E9787-6648-4C17-8A61-D6CDBB78C2A7}</b:Guid>
    <b:Year>2002</b:Year>
    <b:Author>
      <b:Author>
        <b:NameList>
          <b:Person>
            <b:Last>Esterberg</b:Last>
            <b:First>K</b:First>
          </b:Person>
        </b:NameList>
      </b:Author>
    </b:Author>
    <b:Title>Qualitative methods in social research</b:Title>
    <b:City>Boston</b:City>
    <b:Publisher>McGraw Hill</b:Publisher>
    <b:RefOrder>16</b:RefOrder>
  </b:Source>
  <b:Source>
    <b:Tag>Caj22</b:Tag>
    <b:SourceType>DocumentFromInternetSite</b:SourceType>
    <b:Guid>{4A1C71AE-0A04-460A-90C2-71741CD455AA}</b:Guid>
    <b:Title>Investigación de Campo: Características, Tipos, Técnicas y Etapas</b:Title>
    <b:Year>2022</b:Year>
    <b:Author>
      <b:Author>
        <b:NameList>
          <b:Person>
            <b:Last>Cajal</b:Last>
            <b:First>Alberto</b:First>
          </b:Person>
        </b:NameList>
      </b:Author>
    </b:Author>
    <b:InternetSiteTitle>Google.com</b:InternetSiteTitle>
    <b:URL>https://s9329b2fc3e54355a.jimcontent.com/download/version/1545253266/module/9548087369/name/Investigaci%C3%B3n%20de%20Campo.pdf</b:URL>
    <b:RefOrder>17</b:RefOrder>
  </b:Source>
  <b:Source>
    <b:Tag>Ins221</b:Tag>
    <b:SourceType>InternetSite</b:SourceType>
    <b:Guid>{E0CED46A-3524-4864-AFCF-9512DA4FEE0A}</b:Guid>
    <b:Title>Visualizador de Estadísticas Empresariales 2020</b:Title>
    <b:InternetSiteTitle>Tableau Public</b:InternetSiteTitle>
    <b:Year>2022</b:Year>
    <b:URL>https://public.tableau.com/app/profile/instituto.nacional.de.estad.stica.y.censos.inec./viz/VisualizadordeEstadsticasEmpresariales2020/Dportada</b:URL>
    <b:Author>
      <b:Author>
        <b:Corporate>INEC</b:Corporate>
      </b:Author>
    </b:Author>
    <b:RefOrder>18</b:RefOrder>
  </b:Source>
  <b:Source>
    <b:Tag>Cor19</b:Tag>
    <b:SourceType>DocumentFromInternetSite</b:SourceType>
    <b:Guid>{9D292E06-8674-43CF-9564-945CB3D10326}</b:Guid>
    <b:Title>El comercio electrónico e-commerce, análisis actual desde la perspectiva del consumidor en la ciudad de Guayaquil, provincia del Guayas y estrategias efectivas para su desarrollo</b:Title>
    <b:Year>2019</b:Year>
    <b:Author>
      <b:Author>
        <b:NameList>
          <b:Person>
            <b:Last>Cordero Linzán</b:Last>
            <b:First>Mayra</b:First>
          </b:Person>
        </b:NameList>
      </b:Author>
    </b:Author>
    <b:InternetSiteTitle>Repositorio UCSG</b:InternetSiteTitle>
    <b:Month>noviembre</b:Month>
    <b:Day>19</b:Day>
    <b:URL>http://repositorio.ucsg.edu.ec/bitstream/3317/14064/1/T-UCSG-POS-MFEE-179.pdf</b:URL>
    <b:RefOrder>19</b:RefOrder>
  </b:Source>
  <b:Source>
    <b:Tag>Art18</b:Tag>
    <b:SourceType>JournalArticle</b:SourceType>
    <b:Guid>{4DA9D4E6-2414-4488-87B2-E6A955C5516C}</b:Guid>
    <b:Title>Influencia del marketing digital en el desarrollo de las MIPYME’s en Ecuador</b:Title>
    <b:Year>2018</b:Year>
    <b:Author>
      <b:Author>
        <b:NameList>
          <b:Person>
            <b:Last>Arteaga Cisneros</b:Last>
            <b:First>Janina</b:First>
          </b:Person>
          <b:Person>
            <b:Last>Coronel Pérez</b:Last>
            <b:First>Verónica</b:First>
          </b:Person>
          <b:Person>
            <b:Last>Acosta Véliz</b:Last>
            <b:First>Marjorie</b:First>
          </b:Person>
        </b:NameList>
      </b:Author>
    </b:Author>
    <b:JournalName>Revista Espacios</b:JournalName>
    <b:Pages>1</b:Pages>
    <b:Volume>39</b:Volume>
    <b:Issue>47</b:Issue>
    <b:RefOrder>20</b:RefOrder>
  </b:Source>
  <b:Source>
    <b:Tag>Baq21</b:Tag>
    <b:SourceType>JournalArticle</b:SourceType>
    <b:Guid>{6FA8099B-9AFA-460C-A266-C304EE2395A0}</b:Guid>
    <b:Title>Marketing digital y su incidencia en el desarrollo comercial de las microempresas de la ciudad de Manta pos-COVID 19.</b:Title>
    <b:Year>2021</b:Year>
    <b:URL>https://revistapublicando.org/revista/index.php/crv/article/view/2233/2440</b:URL>
    <b:Author>
      <b:Author>
        <b:NameList>
          <b:Person>
            <b:Last>Baque Cantos</b:Last>
            <b:First>Miguel</b:First>
          </b:Person>
          <b:Person>
            <b:Last>Baque Moran</b:Last>
            <b:First>Amparo</b:First>
          </b:Person>
          <b:Person>
            <b:Last>Jaime Baque</b:Last>
            <b:First>Miguel</b:First>
          </b:Person>
        </b:NameList>
      </b:Author>
    </b:Author>
    <b:JournalName>Revista Publicando</b:JournalName>
    <b:Pages>50-60</b:Pages>
    <b:Volume>8</b:Volume>
    <b:Issue>31</b:Issue>
    <b:DOI>https://doi.org/10.51528/rp.vol8.id2233</b:DOI>
    <b:RefOrder>21</b:RefOrder>
  </b:Source>
  <b:Source>
    <b:Tag>Ale22</b:Tag>
    <b:SourceType>InternetSite</b:SourceType>
    <b:Guid>{6D58E464-9203-4753-A686-3E353BA5E395}</b:Guid>
    <b:Title>Top Sites in Ecuador</b:Title>
    <b:Year>2022</b:Year>
    <b:Author>
      <b:Author>
        <b:NameList>
          <b:Person>
            <b:Last>Alexa</b:Last>
          </b:Person>
        </b:NameList>
      </b:Author>
    </b:Author>
    <b:InternetSiteTitle>Alexa</b:InternetSiteTitle>
    <b:URL>https://www.alexa.com/topsites/countries/EC</b:URL>
    <b:RefOrder>22</b:RefOrder>
  </b:Source>
  <b:Source>
    <b:Tag>Gue16</b:Tag>
    <b:SourceType>InternetSite</b:SourceType>
    <b:Guid>{C1F0567D-B0D0-4712-A68D-274417D59801}</b:Guid>
    <b:Title>Propuesta de Estrategias de Marketing Electronico para los Microempresarios Comerciales de Guayaquil</b:Title>
    <b:Year>2016</b:Year>
    <b:Author>
      <b:Author>
        <b:NameList>
          <b:Person>
            <b:Last>Guerrero Manzaba</b:Last>
            <b:First>Maria</b:First>
          </b:Person>
          <b:Person>
            <b:Last>Vera Ortiz</b:Last>
            <b:First>Jennifer</b:First>
          </b:Person>
        </b:NameList>
      </b:Author>
    </b:Author>
    <b:InternetSiteTitle>REPOSITORIO UG</b:InternetSiteTitle>
    <b:URL>http://repositorio.ug.edu.ec/bitstream/redug/10522/1/TESIS%20LISTA%201.pdf</b:URL>
    <b:RefOrder>23</b:RefOrder>
  </b:Source>
  <b:Source>
    <b:Tag>Sig16</b:Tag>
    <b:SourceType>InternetSite</b:SourceType>
    <b:Guid>{D530C8D0-83DA-4E3B-828E-19ACD970D3FB}</b:Guid>
    <b:Title>Microempresa</b:Title>
    <b:InternetSiteTitle>Significados.com</b:InternetSiteTitle>
    <b:Year>2016</b:Year>
    <b:Month>03</b:Month>
    <b:Day>29</b:Day>
    <b:URL>https://www.significados.com/microempresa/</b:URL>
    <b:Author>
      <b:Author>
        <b:Corporate>Significados.com</b:Corporate>
      </b:Author>
    </b:Author>
    <b:RefOrder>24</b:RefOrder>
  </b:Source>
  <b:Source>
    <b:Tag>RIM21</b:Tag>
    <b:SourceType>InternetSite</b:SourceType>
    <b:Guid>{3CA5D920-6A69-4BAF-9965-17C966532D78}</b:Guid>
    <b:Title>RIMISP Cetro Latinoamericano para el Desarrollo Rural</b:Title>
    <b:Year>2021</b:Year>
    <b:Month>04</b:Month>
    <b:Day>05</b:Day>
    <b:YearAccessed>2023</b:YearAccessed>
    <b:MonthAccessed>01</b:MonthAccessed>
    <b:DayAccessed>13</b:DayAccessed>
    <b:URL>https://www.rimisp.org/noticia/grupo-de-dialogo-rural-de-ecuador-analiza-realidad-del-pais-y-proyecta-escenarios-para-la-recuperacion-economica-del-agro/</b:URL>
    <b:Author>
      <b:Author>
        <b:NameList>
          <b:Person>
            <b:Last>RIMISP</b:Last>
          </b:Person>
        </b:NameList>
      </b:Author>
    </b:Author>
    <b:ProductionCompany>Rimisp</b:ProductionCompany>
    <b:ShortTitle>Grupo de Diálogo Rural de Ecuador analiza realidad del país y proyecta escenarios para la recuperación económica del agro</b:ShortTitle>
    <b:RefOrder>1</b:RefOrder>
  </b:Source>
  <b:Source>
    <b:Tag>XuJ22</b:Tag>
    <b:SourceType>DocumentFromInternetSite</b:SourceType>
    <b:Guid>{9DD848E2-6406-4864-A06C-2B52309FDF31}</b:Guid>
    <b:Title>Science Direct</b:Title>
    <b:Year>2022</b:Year>
    <b:Month>06</b:Month>
    <b:Day>01</b:Day>
    <b:YearAccessed>2023</b:YearAccessed>
    <b:MonthAccessed>01</b:MonthAccessed>
    <b:DayAccessed>12</b:DayAccessed>
    <b:URL>https://www.sciencedirect.com/science/article/pii/S2589721722000010</b:URL>
    <b:InternetSiteTitle>Sciencedirect</b:InternetSiteTitle>
    <b:ShortTitle>Revisión de la tecnología IoT agrícola</b:ShortTitle>
    <b:Author>
      <b:Author>
        <b:NameList>
          <b:Person>
            <b:Last>Xu</b:Last>
            <b:First>Jinyuan</b:First>
          </b:Person>
          <b:Person>
            <b:Last>Gua</b:Last>
            <b:First>Baoxing</b:First>
          </b:Person>
          <b:Person>
            <b:Last>Tian</b:Last>
            <b:First>Guangzhao</b:First>
          </b:Person>
        </b:NameList>
      </b:Author>
    </b:Author>
    <b:RefOrder>2</b:RefOrder>
  </b:Source>
  <b:Source>
    <b:Tag>Ana22</b:Tag>
    <b:SourceType>DocumentFromInternetSite</b:SourceType>
    <b:Guid>{21F5DE15-7767-43EE-BC03-8B13D5EDE13D}</b:Guid>
    <b:Title>Direct Science</b:Title>
    <b:Year>2022</b:Year>
    <b:Month>12</b:Month>
    <b:Day>24</b:Day>
    <b:YearAccessed>2023</b:YearAccessed>
    <b:MonthAccessed>01</b:MonthAccessed>
    <b:DayAccessed>12</b:DayAccessed>
    <b:URL>https://www.sciencedirect.com/science/article/pii/S2665917422002331#fig6</b:URL>
    <b:InternetSiteTitle>ScienceDirect</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3</b:RefOrder>
  </b:Source>
  <b:Source>
    <b:Tag>Yan21</b:Tag>
    <b:SourceType>DocumentFromInternetSite</b:SourceType>
    <b:Guid>{19484CE0-4440-4914-A17F-AFE4BEF26BFE}</b:Guid>
    <b:Title>MDPI</b:Title>
    <b:Year>2021</b:Year>
    <b:Month>10</b:Month>
    <b:Day>22</b:Day>
    <b:YearAccessed>2023</b:YearAccessed>
    <b:MonthAccessed>01</b:MonthAccessed>
    <b:DayAccessed>12</b:DayAccessed>
    <b:URL>https://www.mdpi.com/2227-9717/9/11/1882</b:URL>
    <b:Author>
      <b:Author>
        <b:NameList>
          <b:Person>
            <b:Last>Yang</b:Last>
            <b:First>Jun</b:First>
          </b:Person>
          <b:Person>
            <b:Last>Yu</b:Last>
            <b:First>Chang</b:First>
          </b:Person>
          <b:Person>
            <b:Last>Hu</b:Last>
            <b:First>Zijian</b:First>
          </b:Person>
        </b:NameList>
      </b:Author>
    </b:Author>
    <b:InternetSiteTitle>MDPI Articulos</b:InternetSiteTitle>
    <b:ShortTitle>Improvement of Perception Layer Routing Protocol with Static</b:ShortTitle>
    <b:RefOrder>4</b:RefOrder>
  </b:Source>
  <b:Source>
    <b:Tag>Mal17</b:Tag>
    <b:SourceType>DocumentFromInternetSite</b:SourceType>
    <b:Guid>{C59142EC-01D4-408D-B0D5-6ED9938EF0AA}</b:Guid>
    <b:Title>Science Direct</b:Title>
    <b:Year>2017</b:Year>
    <b:Month>08</b:Month>
    <b:Day>13</b:Day>
    <b:YearAccessed>2023</b:YearAccessed>
    <b:MonthAccessed>01</b:MonthAccessed>
    <b:DayAccessed>12</b:DayAccessed>
    <b:URL>https://www.sciencedirect.com/science/article/pii/S1877050917316903</b:URL>
    <b:InternetSiteTitle>Direct Science</b:InternetSiteTitle>
    <b:ShortTitle>Sobre el uso de tecnologías IoT y Big Data para el monitoreo y procesamiento de datos en tiempo real</b:ShortTitle>
    <b:Author>
      <b:Author>
        <b:NameList>
          <b:Person>
            <b:Last>Malek Y.</b:Last>
            <b:First>Nait</b:First>
          </b:Person>
          <b:Person>
            <b:Last>Kharbouch</b:Last>
            <b:First>A.</b:First>
          </b:Person>
          <b:Person>
            <b:Last>El Khoukhi</b:Last>
            <b:First>H.</b:First>
          </b:Person>
          <b:Person>
            <b:Last>Bakhouyaa</b:Last>
            <b:First>M.</b:First>
          </b:Person>
          <b:Person>
            <b:Last>De Florio</b:Last>
            <b:First>V.</b:First>
          </b:Person>
          <b:Person>
            <b:Last>Ouadghirib</b:Last>
            <b:First>D.</b:First>
          </b:Person>
          <b:Person>
            <b:Last>Latre</b:Last>
            <b:First>S.</b:First>
          </b:Person>
          <b:Person>
            <b:Last>Blondia</b:Last>
            <b:First>C.</b:First>
          </b:Person>
        </b:NameList>
      </b:Author>
    </b:Author>
    <b:RefOrder>5</b:RefOrder>
  </b:Source>
  <b:Source>
    <b:Tag>Lak22</b:Tag>
    <b:SourceType>DocumentFromInternetSite</b:SourceType>
    <b:Guid>{A66DFC40-C068-4CE3-8C20-26745EBF2D3A}</b:Guid>
    <b:Title>Science Direct</b:Title>
    <b:Year>2022</b:Year>
    <b:Month>06</b:Month>
    <b:Day>25</b:Day>
    <b:YearAccessed>2023</b:YearAccessed>
    <b:MonthAccessed>01</b:MonthAccessed>
    <b:DayAccessed>12</b:DayAccessed>
    <b:URL>https://www.sciencedirect.com/science/article/pii/S2665917422002422</b:URL>
    <b:InternetSiteTitle>Science Direct</b:InternetSiteTitle>
    <b:ShortTitle>Un sensor IOT inteligente acoplado a un modelo de riego de precisión para la agricultura</b:ShortTitle>
    <b:Author>
      <b:Author>
        <b:NameList>
          <b:Person>
            <b:Last>Lakshmi</b:Last>
            <b:First>Prasanna</b:First>
          </b:Person>
          <b:Person>
            <b:Last>Asha</b:Last>
            <b:First>P. N.</b:First>
          </b:Person>
          <b:Person>
            <b:Last>Sandhyac</b:Last>
            <b:First>G.</b:First>
          </b:Person>
          <b:Person>
            <b:Last>Sharmad</b:Last>
            <b:First>S. Vivek</b:First>
          </b:Person>
          <b:Person>
            <b:Last>Shilpashree</b:Last>
            <b:First>S.</b:First>
          </b:Person>
          <b:Person>
            <b:Last>Subramanyad</b:Last>
            <b:First>SG</b:First>
          </b:Person>
        </b:NameList>
      </b:Author>
    </b:Author>
    <b:RefOrder>6</b:RefOrder>
  </b:Source>
  <b:Source>
    <b:Tag>Ana221</b:Tag>
    <b:SourceType>DocumentFromInternetSite</b:SourceType>
    <b:Guid>{94EE1607-6BC7-49F9-97E2-FA552AA2A60F}</b:Guid>
    <b:Title>Science Direct ElSevier</b:Title>
    <b:Year>2022</b:Year>
    <b:Month>10</b:Month>
    <b:Day>05</b:Day>
    <b:YearAccessed>2023</b:YearAccessed>
    <b:MonthAccessed>01</b:MonthAccessed>
    <b:DayAccessed>12</b:DayAccessed>
    <b:URL>https://www.sciencedirect.com/science/article/pii/S2665917422002331#fig6</b:URL>
    <b:InternetSiteTitle>Reader el Sevier</b:InternetSiteTitle>
    <b:ShortTitle>Análisis integral de los servicios para mejorar la seguridad en la agricultura basada en IoT</b:ShortTitle>
    <b:Author>
      <b:Author>
        <b:NameList>
          <b:Person>
            <b:Last>Anand</b:Last>
            <b:First>Sakshi</b:First>
          </b:Person>
          <b:Person>
            <b:Last>Sharmab</b:Last>
            <b:First>Avinash</b:First>
          </b:Person>
        </b:NameList>
      </b:Author>
    </b:Author>
    <b:RefOrder>7</b:RefOrder>
  </b:Source>
  <b:Source>
    <b:Tag>Van20</b:Tag>
    <b:SourceType>DocumentFromInternetSite</b:SourceType>
    <b:Guid>{FAA27BF1-72F2-4C50-A821-2DB7D02E94E8}</b:Guid>
    <b:Title>Science Direct Elsevier</b:Title>
    <b:Year>2020</b:Year>
    <b:Month>05</b:Month>
    <b:Day>14</b:Day>
    <b:YearAccessed>2023</b:YearAccessed>
    <b:MonthAccessed>01</b:MonthAccessed>
    <b:DayAccessed>12</b:DayAccessed>
    <b:URL>https://www.sciencedirect.com/science/article/abs/pii/S0065211320300328</b:URL>
    <b:Author>
      <b:Author>
        <b:NameList>
          <b:Person>
            <b:Last>Van Der Merwe</b:Last>
            <b:First>Deon</b:First>
          </b:Person>
          <b:Person>
            <b:Last>Burchfieldb</b:Last>
            <b:First>David</b:First>
          </b:Person>
          <b:Person>
            <b:Last>D. Wittb</b:Last>
            <b:First>Trevor</b:First>
          </b:Person>
          <b:Person>
            <b:Last>P. Price</b:Last>
            <b:First>Kevin</b:First>
          </b:Person>
          <b:Person>
            <b:Last>Sharda</b:Last>
            <b:First>Ajay</b:First>
          </b:Person>
        </b:NameList>
      </b:Author>
    </b:Author>
    <b:ShortTitle>Capítulo Uno - Drones en la agricultura</b:ShortTitle>
    <b:RefOrder>8</b:RefOrder>
  </b:Source>
  <b:Source>
    <b:Tag>Sub21</b:Tag>
    <b:SourceType>DocumentFromInternetSite</b:SourceType>
    <b:Guid>{1002C960-95F5-45F3-BD3C-AEA902EB029F}</b:Guid>
    <b:Title>Materials Today: Proceedings</b:Title>
    <b:Year>2021</b:Year>
    <b:Month>03</b:Month>
    <b:Day>27</b:Day>
    <b:YearAccessed>2023</b:YearAccessed>
    <b:MonthAccessed>01</b:MonthAccessed>
    <b:DayAccessed>12</b:DayAccessed>
    <b:URL>https://www.sciencedirect.com/science/article/pii/S2214785321020046</b:URL>
    <b:Author>
      <b:Author>
        <b:NameList>
          <b:Person>
            <b:Last>Subramaniam</b:Last>
            <b:First>Rajvin</b:First>
          </b:Person>
          <b:Person>
            <b:Last>Hussen Hajjaj </b:Last>
            <b:First>Sami Salama</b:First>
          </b:Person>
          <b:Person>
            <b:Last>Gsangaya</b:Last>
            <b:First>Kisheen Rao</b:First>
          </b:Person>
          <b:Person>
            <b:Last>Hameed Sultan</b:Last>
            <b:First>Mohamed Thariq </b:First>
          </b:Person>
          <b:Person>
            <b:Last>Fazly Mail</b:Last>
            <b:First>Mohd</b:First>
          </b:Person>
          <b:Person>
            <b:Last>Seng Huah</b:Last>
            <b:First>Lee</b:First>
          </b:Person>
        </b:NameList>
      </b:Author>
    </b:Author>
    <b:ShortTitle>Redesigning dispenser component to enhance performance crop-dusting agriculture drones</b:ShortTitle>
    <b:RefOrder>9</b:RefOrder>
  </b:Source>
  <b:Source>
    <b:Tag>Par17</b:Tag>
    <b:SourceType>DocumentFromInternetSite</b:SourceType>
    <b:Guid>{00A61447-7347-4FF9-A1D8-1CD3F2FE13C1}</b:Guid>
    <b:Title>Science Direct</b:Title>
    <b:Year>2017</b:Year>
    <b:Month>07</b:Month>
    <b:Day>10</b:Day>
    <b:YearAccessed>2023</b:YearAccessed>
    <b:MonthAccessed>01</b:MonthAccessed>
    <b:DayAccessed>11</b:DayAccessed>
    <b:URL>https://reader.elsevier.com/reader/sd/pii/S0301703617300263?token=11F9F62BFC63D9CA1071577F2C7FB2C216ECB2A28DAA8633577EB6502D00D914AB7FDD383B0201BCCD2582317559DBB0&amp;originRegion=us-east-1&amp;originCreation=20230113150257</b:URL>
    <b:InternetSiteTitle>Sciencedirect</b:InternetSiteTitle>
    <b:Author>
      <b:Author>
        <b:NameList>
          <b:Person>
            <b:Last>Parada</b:Last>
            <b:First>Jairo</b:First>
          </b:Person>
        </b:NameList>
      </b:Author>
    </b:Author>
    <b:RefOrder>10</b:RefOrder>
  </b:Source>
  <b:Source>
    <b:Tag>San19</b:Tag>
    <b:SourceType>InternetSite</b:SourceType>
    <b:Guid>{B718B250-ECDC-4146-AA78-2696814C721B}</b:Guid>
    <b:Title>MC PRO</b:Title>
    <b:Year>2019</b:Year>
    <b:Month>07</b:Month>
    <b:Day>23</b:Day>
    <b:YearAccessed>2023</b:YearAccessed>
    <b:MonthAccessed>01</b:MonthAccessed>
    <b:DayAccessed>11</b:DayAccessed>
    <b:URL>https://www.muycomputerpro.com/2019/07/23/por-que-optan-las-start-ups-por-la-nube</b:URL>
    <b:ProductionCompany>Amazom Web Services</b:ProductionCompany>
    <b:InternetSiteTitle>Muy Computer PRO</b:InternetSiteTitle>
    <b:Author>
      <b:Author>
        <b:NameList>
          <b:Person>
            <b:Last>Sanchiz</b:Last>
            <b:First>Carlos</b:First>
          </b:Person>
        </b:NameList>
      </b:Author>
    </b:Author>
    <b:RefOrder>11</b:RefOrder>
  </b:Source>
  <b:Source>
    <b:Tag>Tov19</b:Tag>
    <b:SourceType>DocumentFromInternetSite</b:SourceType>
    <b:Guid>{5B9F7326-520C-4414-BFB1-F671BDFBE227}</b:Guid>
    <b:Title>REDALYC ORG.</b:Title>
    <b:Year>2019</b:Year>
    <b:Month>06</b:Month>
    <b:Day>27</b:Day>
    <b:YearAccessed>2023</b:YearAccessed>
    <b:MonthAccessed>01</b:MonthAccessed>
    <b:DayAccessed>12</b:DayAccessed>
    <b:URL>https://www.redalyc.org/journal/6139/613964509009/html/</b:URL>
    <b:Author>
      <b:Author>
        <b:NameList>
          <b:Person>
            <b:Last>Tovar Soto</b:Last>
            <b:Middle>Paolo</b:Middle>
            <b:First>Jhonatan </b:First>
          </b:Person>
          <b:Person>
            <b:Last>Solórzano Suárez</b:Last>
            <b:Middle>De los Santos</b:Middle>
            <b:First>José </b:First>
          </b:Person>
          <b:Person>
            <b:Last>Badillo Rodríguez</b:Last>
            <b:First>Andrés</b:First>
          </b:Person>
          <b:Person>
            <b:Last>Rodríguez Cainaba</b:Last>
            <b:Middle>Oswaldo</b:Middle>
            <b:First>Genner</b:First>
          </b:Person>
        </b:NameList>
      </b:Author>
    </b:Author>
    <b:InternetSiteTitle>Redalyc Org.</b:InternetSiteTitle>
    <b:ShortTitle>Internet de las cosas aplicado a la agricultura: estado actual</b:ShortTitle>
    <b:RefOrder>12</b:RefOrder>
  </b:Source>
  <b:Source>
    <b:Tag>Gue20</b:Tag>
    <b:SourceType>DocumentFromInternetSite</b:SourceType>
    <b:Guid>{151CEB34-93E1-44C5-890F-5D9F20A2C729}</b:Guid>
    <b:Title>Dialnet</b:Title>
    <b:Year>2020</b:Year>
    <b:Month>07</b:Month>
    <b:Day>01</b:Day>
    <b:YearAccessed>2023</b:YearAccessed>
    <b:MonthAccessed>01</b:MonthAccessed>
    <b:DayAccessed>10</b:DayAccessed>
    <b:URL>https://dialnet.unirioja.es/descarga/articulo/7591592.pdf</b:URL>
    <b:Author>
      <b:Author>
        <b:NameList>
          <b:Person>
            <b:Last>Guevara Alban</b:Last>
            <b:Middle>Patricia</b:Middle>
            <b:First>Gladys </b:First>
          </b:Person>
          <b:Person>
            <b:Last>Verdesoto Arguello</b:Last>
            <b:Middle>Eduardo</b:Middle>
            <b:First>Alexis</b:First>
          </b:Person>
          <b:Person>
            <b:Last>Castro Molina</b:Last>
            <b:Middle>Esther</b:Middle>
            <b:First>Nelly</b:First>
          </b:Person>
        </b:NameList>
      </b:Author>
    </b:Author>
    <b:InternetSiteTitle>DIALNET</b:InternetSiteTitle>
    <b:RefOrder>13</b:RefOrder>
  </b:Source>
  <b:Source>
    <b:Tag>Gal17</b:Tag>
    <b:SourceType>DocumentFromInternetSite</b:SourceType>
    <b:Guid>{35F2CCA7-15BC-43AB-A59E-5AC52D8997C7}</b:Guid>
    <b:Title>Continental</b:Title>
    <b:Year>2017</b:Year>
    <b:Month>07</b:Month>
    <b:Day>20</b:Day>
    <b:YearAccessed>2023</b:YearAccessed>
    <b:MonthAccessed>01</b:MonthAccessed>
    <b:DayAccessed>11</b:DayAccessed>
    <b:URL>https://repositorio.continental.edu.pe/bitstream/20.500.12394/4278/1/DO_UC_EG_MAI_UC0584_2018.pdf</b:URL>
    <b:InternetSiteTitle>Repositorio Continental</b:InternetSiteTitle>
    <b:ShortTitle>Metodología de la Investigación</b:ShortTitle>
    <b:Author>
      <b:Author>
        <b:NameList>
          <b:Person>
            <b:Last> Gallardo Echenique</b:Last>
            <b:Middle>Esther</b:Middle>
            <b:First>Eliana</b:First>
          </b:Person>
        </b:NameList>
      </b:Author>
      <b:Editor>
        <b:NameList>
          <b:Person>
            <b:Last>Gallardo Echenique</b:Last>
            <b:First>Eliana </b:First>
          </b:Person>
          <b:Person>
            <b:Last>Córdova Solís</b:Last>
            <b:Middle>Angel</b:Middle>
            <b:First>Miguel</b:First>
          </b:Person>
        </b:NameList>
      </b:Editor>
    </b:Author>
    <b:RefOrder>14</b:RefOrder>
  </b:Source>
  <b:Source>
    <b:Tag>Rei12</b:Tag>
    <b:SourceType>DocumentFromInternetSite</b:SourceType>
    <b:Guid>{1143D868-BA9B-442B-BE27-7896F4A97BB7}</b:Guid>
    <b:Title>Core Ac</b:Title>
    <b:Year>2012</b:Year>
    <b:Month>10</b:Month>
    <b:Day>01</b:Day>
    <b:YearAccessed>2023</b:YearAccessed>
    <b:MonthAccessed>01</b:MonthAccessed>
    <b:DayAccessed>13</b:DayAccessed>
    <b:URL>https://core.ac.uk/download/pdf/143437556.pdf</b:URL>
    <b:Author>
      <b:Author>
        <b:NameList>
          <b:Person>
            <b:Last>Reinoso Villamil</b:Last>
            <b:Middle>Ricardo</b:Middle>
            <b:First>Marco</b:First>
          </b:Person>
        </b:NameList>
      </b:Author>
    </b:Author>
    <b:InternetSiteTitle>Core.Ac.Uk</b:InternetSiteTitle>
    <b:ShortTitle>Análisis costo-beneficio de la aplicación de la agricultura de precisión caso cacao</b:ShortTitle>
    <b:RefOrder>15</b:RefOrder>
  </b:Source>
  <b:Source>
    <b:Tag>Alc18</b:Tag>
    <b:SourceType>DocumentFromInternetSite</b:SourceType>
    <b:Guid>{C7C80E7B-24AF-4C52-B234-A9486E31F2ED}</b:Guid>
    <b:Title>Repository EAFIT</b:Title>
    <b:Year>2018</b:Year>
    <b:Month>12</b:Month>
    <b:Day>10</b:Day>
    <b:YearAccessed>2023</b:YearAccessed>
    <b:MonthAccessed>01</b:MonthAccessed>
    <b:DayAccessed>14</b:DayAccessed>
    <b:URL>https://repository.eafit.edu.co/bitstream/handle/10784/12581/JuanGonzalo_JimenezTrespalacios_JohnJames_AlcarazRestrepo_2018.pdf?sequence=2</b:URL>
    <b:Author>
      <b:Author>
        <b:NameList>
          <b:Person>
            <b:Last>Alcaraz Restrepo</b:Last>
            <b:Middle>James</b:Middle>
            <b:First>Jhon</b:First>
          </b:Person>
          <b:Person>
            <b:Last>Jiménez Trespalacios</b:Last>
            <b:Middle>Gonzalo</b:Middle>
            <b:First>Juan</b:First>
          </b:Person>
        </b:NameList>
      </b:Author>
    </b:Author>
    <b:InternetSiteTitle>Escuela de Administracion, Finanzas e Instituto Tecnologico</b:InternetSiteTitle>
    <b:ShortTitle>La aplicación de la agricultura de precisión en el proceso de fertilización: un caso de estudio para el sector bananero del Urabá-Antioqueño.</b:ShortTitle>
    <b:RefOrder>16</b:RefOrder>
  </b:Source>
  <b:Source>
    <b:Tag>Sch20</b:Tag>
    <b:SourceType>InternetSite</b:SourceType>
    <b:Guid>{A8551A74-AD6A-47A0-AB3D-72B9ED2047B0}</b:Guid>
    <b:Title>IADB Banco Internacional de Desarrollo</b:Title>
    <b:Year>2020</b:Year>
    <b:Month>06</b:Month>
    <b:Day>26</b:Day>
    <b:YearAccessed>2023</b:YearAccessed>
    <b:MonthAccessed>01</b:MonthAccessed>
    <b:DayAccessed>14</b:DayAccessed>
    <b:URL>https://blogs.iadb.org/sostenibilidad/es/como-esta-afectando-la-pandemia-del-covid-19-a-nuestros-campesinos/</b:URL>
    <b:ProductionCompany>IADB</b:ProductionCompany>
    <b:Author>
      <b:Author>
        <b:NameList>
          <b:Person>
            <b:Last>Schling</b:Last>
            <b:First>Maja</b:First>
          </b:Person>
          <b:Person>
            <b:Last>Salazar</b:Last>
            <b:First>Lina</b:First>
          </b:Person>
          <b:Person>
            <b:Last>Palacios </b:Last>
            <b:First>Ana</b:First>
          </b:Person>
          <b:Person>
            <b:Last>Pazos</b:Last>
            <b:First>Nicolas</b:First>
          </b:Person>
        </b:NameList>
      </b:Author>
    </b:Author>
    <b:ShortTitle>¿Cómo está afectando la pandemia del Covid-19 a nuestros campesinos?</b:ShortTitle>
    <b:RefOrder>17</b:RefOrder>
  </b:Source>
  <b:Source>
    <b:Tag>SYD22</b:Tag>
    <b:SourceType>InternetSite</b:SourceType>
    <b:Guid>{8EE83226-85FD-45DE-BF04-8A2F1AAC5F2D}</b:Guid>
    <b:Author>
      <b:Author>
        <b:Corporate>SYDLE</b:Corporate>
      </b:Author>
    </b:Author>
    <b:Title>SLYDE</b:Title>
    <b:Year>2022</b:Year>
    <b:Month>MAYO</b:Month>
    <b:Day>18</b:Day>
    <b:URL>https://www.sydle.com/es/blog/sistema-integrado-de-gestion-60ccde8b301c8a2e4aa12daf/</b:URL>
    <b:RefOrder>1</b:RefOrder>
  </b:Source>
  <b:Source>
    <b:Tag>Gal02</b:Tag>
    <b:SourceType>JournalArticle</b:SourceType>
    <b:Guid>{81BE7266-06EA-4287-A51D-E485BE3AE399}</b:Guid>
    <b:Author>
      <b:Author>
        <b:NameList>
          <b:Person>
            <b:Last>Gallego</b:Last>
            <b:First>J.</b:First>
          </b:Person>
        </b:NameList>
      </b:Author>
    </b:Author>
    <b:Title>Gestion de hoteles: Una nueva vision</b:Title>
    <b:JournalName>Ediciones Paraninfo S.A</b:JournalName>
    <b:Year>2002</b:Year>
    <b:RefOrder>2</b:RefOrder>
  </b:Source>
  <b:Source>
    <b:Tag>STR20</b:Tag>
    <b:SourceType>InternetSite</b:SourceType>
    <b:Guid>{4EF8794B-89DA-4D6A-9D37-AF9AD900193B}</b:Guid>
    <b:Title>STRUCTURALIA</b:Title>
    <b:Year>2020</b:Year>
    <b:Author>
      <b:Author>
        <b:Corporate>Dirección y Gestión</b:Corporate>
      </b:Author>
    </b:Author>
    <b:InternetSiteTitle>AREAS FUNDAMENTALES PARA LA GESTION INTEGRAL DE PROYECTOS</b:InternetSiteTitle>
    <b:Month>ABRIL</b:Month>
    <b:Day>17</b:Day>
    <b:URL>https://blog.structuralia.com/gestion-integral-de-proyectos</b:URL>
    <b:RefOrder>3</b:RefOrder>
  </b:Source>
  <b:Source>
    <b:Tag>Cas19</b:Tag>
    <b:SourceType>JournalArticle</b:SourceType>
    <b:Guid>{91BD4923-17C5-4E0C-A785-86918654EB37}</b:Guid>
    <b:Author>
      <b:Author>
        <b:NameList>
          <b:Person>
            <b:Last>Castillo</b:Last>
            <b:First>Ana</b:First>
            <b:Middle>Aranda</b:Middle>
          </b:Person>
        </b:NameList>
      </b:Author>
    </b:Author>
    <b:Title>6 razones por las que expandir tu gama de productos impulsará tus conversiones</b:Title>
    <b:JournalName>abtasty</b:JournalName>
    <b:Year>2019</b:Year>
    <b:LCID>es-EC</b:LCID>
    <b:Month>Noviembre</b:Month>
    <b:Day>18</b:Day>
    <b:URL>https://www.abtasty.com/es/blog/impulsar-conversiones-gama-productos/#:~:text=Cuantos%20m%C3%A1s%20productos%20ofrezcas%2C%20m%C3%A1s,adem%C3%A1s%2C%20tu%20cartera%20de%20clientes.</b:URL>
    <b:RefOrder>4</b:RefOrder>
  </b:Source>
  <b:Source>
    <b:Tag>SHE11</b:Tag>
    <b:SourceType>JournalArticle</b:SourceType>
    <b:Guid>{E3777A55-AD46-43F2-8595-BA635AC93587}</b:Guid>
    <b:Title>Sistemas integrados de gestión, un reto para las pequeñas y mediadas empresas</b:Title>
    <b:Year>2011</b:Year>
    <b:Author>
      <b:Author>
        <b:NameList>
          <b:Person>
            <b:Last>GONZALEZ</b:Last>
            <b:First>SHERYL</b:First>
          </b:Person>
        </b:NameList>
      </b:Author>
    </b:Author>
    <b:JournalName>ESCENARIOS</b:JournalName>
    <b:Pages>69-89</b:Pages>
    <b:RefOrder>5</b:RefOrder>
  </b:Source>
  <b:Source>
    <b:Tag>ANA18</b:Tag>
    <b:SourceType>JournalArticle</b:SourceType>
    <b:Guid>{3CE3666F-67B9-4AC8-A37F-562E9219A1DE}</b:Guid>
    <b:Author>
      <b:Author>
        <b:NameList>
          <b:Person>
            <b:Last>ESTRADA</b:Last>
            <b:First>ANA</b:First>
          </b:Person>
        </b:NameList>
      </b:Author>
    </b:Author>
    <b:Title>Guía para la implementación de un sistema integral en la empresa</b:Title>
    <b:JournalName>SIGNOS</b:JournalName>
    <b:Year>2018</b:Year>
    <b:Pages>1-25</b:Pages>
    <b:RefOrder>6</b:RefOrder>
  </b:Source>
  <b:Source>
    <b:Tag>FOR11</b:Tag>
    <b:SourceType>JournalArticle</b:SourceType>
    <b:Guid>{F5DC5531-2613-4813-831A-835CF4BACFCE}</b:Guid>
    <b:Author>
      <b:Author>
        <b:NameList>
          <b:Person>
            <b:Last>FORMOSO</b:Last>
            <b:First>FRAGUELA</b:First>
          </b:Person>
          <b:Person>
            <b:Last>COUCE</b:Last>
            <b:First>CARRAL</b:First>
          </b:Person>
          <b:Person>
            <b:Last>RODRIGUEZ</b:Last>
            <b:First>IGLESIAS</b:First>
          </b:Person>
        </b:NameList>
      </b:Author>
    </b:Author>
    <b:Title>LA INTEGRACIÓN DE LOS SISTEMAS DE GESTIÓN. NECESIDAD DE UNA NUEVA CULTURA EMPRESARIAL</b:Title>
    <b:JournalName>DYNA</b:JournalName>
    <b:Year>2011</b:Year>
    <b:Pages>1-6</b:Pages>
    <b:RefOrder>7</b:RefOrder>
  </b:Source>
  <b:Source>
    <b:Tag>Ord19</b:Tag>
    <b:SourceType>JournalArticle</b:SourceType>
    <b:Guid>{F369181F-A800-44A6-AECE-D0412EBDEC46}</b:Guid>
    <b:Title>Calidad percibida por los clientes de los hoteles de la provincia Los Ríos, Ecuador</b:Title>
    <b:JournalName>Revista de ciencias sociales</b:JournalName>
    <b:Year>2019</b:Year>
    <b:Pages>86</b:Pages>
    <b:Author>
      <b:Author>
        <b:NameList>
          <b:Person>
            <b:Last>Ordoñez</b:Last>
            <b:First>Silva</b:First>
          </b:Person>
        </b:NameList>
      </b:Author>
    </b:Author>
    <b:RefOrder>8</b:RefOrder>
  </b:Source>
  <b:Source>
    <b:Tag>Zam21</b:Tag>
    <b:SourceType>JournalArticle</b:SourceType>
    <b:Guid>{E005F98A-F10C-4F9D-97EC-738EB1637847}</b:Guid>
    <b:Author>
      <b:Author>
        <b:NameList>
          <b:Person>
            <b:Last>Zambrano</b:Last>
            <b:First>Villacis</b:First>
          </b:Person>
          <b:Person>
            <b:Last>Barberan</b:Last>
            <b:First>Macias</b:First>
          </b:Person>
          <b:Person>
            <b:Last>Renan</b:Last>
            <b:First>William</b:First>
          </b:Person>
        </b:NameList>
      </b:Author>
    </b:Author>
    <b:Title>Análisis de la calidad de servicios</b:Title>
    <b:JournalName>journal of bussines and entrepreneurial studies</b:JournalName>
    <b:Year>2021</b:Year>
    <b:Pages>12</b:Pages>
    <b:RefOrder>9</b:RefOrder>
  </b:Source>
  <b:Source>
    <b:Tag>Ana20</b:Tag>
    <b:SourceType>JournalArticle</b:SourceType>
    <b:Guid>{62B82454-BE15-49FF-B828-AB8C91904507}</b:Guid>
    <b:Title>Gestion integral e integrada: experiencia de las empresas en mexico</b:Title>
    <b:Year>2020</b:Year>
    <b:Author>
      <b:Author>
        <b:NameList>
          <b:Person>
            <b:Last>Ramos</b:Last>
            <b:First>Ana</b:First>
          </b:Person>
        </b:NameList>
      </b:Author>
    </b:Author>
    <b:JournalName>Universidad del Zulia</b:JournalName>
    <b:Pages>3</b:Pages>
    <b:RefOrder>10</b:RefOrder>
  </b:Source>
  <b:Source>
    <b:Tag>Luz17</b:Tag>
    <b:SourceType>JournalArticle</b:SourceType>
    <b:Guid>{33563831-4FB1-4FB1-A4F7-CEEA120A829F}</b:Guid>
    <b:Author>
      <b:Author>
        <b:NameList>
          <b:Person>
            <b:Last>Alvarez</b:Last>
            <b:First>Luz</b:First>
          </b:Person>
        </b:NameList>
      </b:Author>
    </b:Author>
    <b:Title>Modelos de gestion</b:Title>
    <b:JournalName>Fondo editorial Areandino </b:JournalName>
    <b:Year>2017</b:Year>
    <b:Pages>17</b:Pages>
    <b:RefOrder>11</b:RefOrder>
  </b:Source>
  <b:Source>
    <b:Tag>Pro18</b:Tag>
    <b:SourceType>InternetSite</b:SourceType>
    <b:Guid>{48529025-D2C3-40E9-837E-E01096194CCC}</b:Guid>
    <b:Author>
      <b:Author>
        <b:Corporate>Profima</b:Corporate>
      </b:Author>
    </b:Author>
    <b:Title>Profima</b:Title>
    <b:InternetSiteTitle>Rentabilidad de una empresa</b:InternetSiteTitle>
    <b:Year>2018</b:Year>
    <b:Month>febrero</b:Month>
    <b:Day>08</b:Day>
    <b:URL>https://www.profima.co/blog/finanzas-corporativas/34-como-mejorar-la-rentabilidad-de-una-empresa</b:URL>
    <b:RefOrder>12</b:RefOrder>
  </b:Source>
  <b:Source>
    <b:Tag>Cór04</b:Tag>
    <b:SourceType>JournalArticle</b:SourceType>
    <b:Guid>{8CB54FA0-67E1-402D-BFA5-CDE7F86113E6}</b:Guid>
    <b:Title>Generalidades sobre Metodología</b:Title>
    <b:Year>2004</b:Year>
    <b:Author>
      <b:Author>
        <b:NameList>
          <b:Person>
            <b:Last>Manuel</b:Last>
            <b:First>Córtes</b:First>
          </b:Person>
        </b:NameList>
      </b:Author>
    </b:Author>
    <b:JournalName>Universidad autonoma del Carmen</b:JournalName>
    <b:Pages>1-105</b:Pages>
    <b:RefOrder>13</b:RefOrder>
  </b:Source>
  <b:Source>
    <b:Tag>Rud06</b:Tag>
    <b:SourceType>JournalArticle</b:SourceType>
    <b:Guid>{947A04B2-7BF9-433C-A0E0-A2F0769AD422}</b:Guid>
    <b:Author>
      <b:Author>
        <b:NameList>
          <b:Person>
            <b:Last>Mendoza</b:Last>
            <b:First>Rudy</b:First>
          </b:Person>
        </b:NameList>
      </b:Author>
    </b:Author>
    <b:Title>Investigación cualitativa y cuantitativa - Diferencias y limitaciones</b:Title>
    <b:JournalName>sin nombre</b:JournalName>
    <b:Year>2006</b:Year>
    <b:Pages>8</b:Pages>
    <b:RefOrder>14</b:RefOrder>
  </b:Source>
  <b:Source xmlns:b="http://schemas.openxmlformats.org/officeDocument/2006/bibliography">
    <b:Tag>Pal06</b:Tag>
    <b:SourceType>JournalArticle</b:SourceType>
    <b:Guid>{AA2F6FB8-0964-A842-B636-FA307371EFAB}</b:Guid>
    <b:Author>
      <b:Author>
        <b:NameList>
          <b:Person>
            <b:Last>Palacios</b:Last>
            <b:First>Rudy</b:First>
            <b:Middle>Mendoza</b:Middle>
          </b:Person>
        </b:NameList>
      </b:Author>
    </b:Author>
    <b:Title>Investigación cualitativa y cuantitativa - Diferencias y limitaciones</b:Title>
    <b:BookTitle>Investigación cualitativa y cuantitativa - Diferencias y limitaciones</b:BookTitle>
    <b:City>Piura</b:City>
    <b:Year>2006</b:Year>
    <b:Pages>3</b:Pages>
    <b:JournalName>Sin nombre</b:JournalName>
    <b:RefOrder>15</b:RefOrder>
  </b:Source>
  <b:Source>
    <b:Tag>Car17</b:Tag>
    <b:SourceType>JournalArticle</b:SourceType>
    <b:Guid>{BF81898A-C584-4A6A-894B-7AC1B6BF4C17}</b:Guid>
    <b:Title>Sistemas Integrados de Gestión</b:Title>
    <b:Year>2017</b:Year>
    <b:JournalName>Ediciones Grupo Compás</b:JournalName>
    <b:Pages>66</b:Pages>
    <b:Author>
      <b:Author>
        <b:NameList>
          <b:Person>
            <b:Last>Carrera</b:Last>
            <b:First>Carlos</b:First>
          </b:Person>
          <b:Person>
            <b:Last>Ligña</b:Last>
            <b:First>Cristian</b:First>
          </b:Person>
          <b:Person>
            <b:Last>Morales</b:Last>
            <b:First>Ortiz</b:First>
          </b:Person>
          <b:Person>
            <b:Last>Suntaxi</b:Last>
            <b:Middle>Darwin</b:Middle>
          </b:Person>
        </b:NameList>
      </b:Author>
    </b:Author>
    <b:RefOrder>16</b:RefOrder>
  </b:Source>
  <b:Source>
    <b:Tag>Más18</b:Tag>
    <b:SourceType>JournalArticle</b:SourceType>
    <b:Guid>{7A4EC11D-47BE-47C1-8BAF-94867EF6D081}</b:Guid>
    <b:Title>Control de los costos por procesos en el taller de válvulas de la Unidad Empresarial de Base Gases Camagüey, perteneciente a la Empresa Nacional de Gases Industriales</b:Title>
    <b:Year>2018</b:Year>
    <b:City>Cuba</b:City>
    <b:JournalName>Artículo Original</b:JournalName>
    <b:Author>
      <b:Author>
        <b:NameList>
          <b:Person>
            <b:Last>Más</b:Last>
            <b:First>C.</b:First>
          </b:Person>
          <b:Person>
            <b:Last>Fuentes</b:Last>
            <b:First>Y.</b:First>
          </b:Person>
        </b:NameList>
      </b:Author>
    </b:Author>
    <b:RefOrder>11</b:RefOrder>
  </b:Source>
  <b:Source>
    <b:Tag>Cha16</b:Tag>
    <b:SourceType>JournalArticle</b:SourceType>
    <b:Guid>{AA249092-D1D0-4662-9747-F9CC9F76320B}</b:Guid>
    <b:Title>Costeo por operaciones: Aplicación para la determinación de precios justos en la industria del plástico</b:Title>
    <b:JournalName>Red de Revistas Científicas de América Latina, el Caribe, España y Portugal</b:JournalName>
    <b:Year>2016</b:Year>
    <b:Pages>5-39</b:Pages>
    <b:Author>
      <b:Author>
        <b:NameList>
          <b:Person>
            <b:Last>Chacón</b:Last>
            <b:First>P.</b:First>
          </b:Person>
          <b:Person>
            <b:Last>Galia</b:Last>
            <b:First>B.</b:First>
          </b:Person>
        </b:NameList>
      </b:Author>
    </b:Author>
    <b:City>Universidad de los Andes Venezuela</b:City>
    <b:Volume>19</b:Volume>
    <b:Issue>32</b:Issue>
    <b:RefOrder>12</b:RefOrder>
  </b:Source>
  <b:Source>
    <b:Tag>Sán13</b:Tag>
    <b:SourceType>JournalArticle</b:SourceType>
    <b:Guid>{7BFA52A4-730E-4274-AE06-C167E7C8805E}</b:Guid>
    <b:Title>Implicancias del método de costeo ABC</b:Title>
    <b:JournalName>Quipukamayoc Revista de la Facultad de Ciencias Contables</b:JournalName>
    <b:Year>2013</b:Year>
    <b:Pages>65-73</b:Pages>
    <b:Author>
      <b:Author>
        <b:NameList>
          <b:Person>
            <b:Last>Sánchez</b:Last>
            <b:First>B.</b:First>
          </b:Person>
        </b:NameList>
      </b:Author>
    </b:Author>
    <b:City>UNMSM, Lima - Perú</b:City>
    <b:Volume>21</b:Volume>
    <b:Issue>39</b:Issue>
    <b:RefOrder>13</b:RefOrder>
  </b:Source>
  <b:Source>
    <b:Tag>Lam</b:Tag>
    <b:SourceType>JournalArticle</b:SourceType>
    <b:Guid>{584C07DE-BD55-481A-B614-147639C43B07}</b:Guid>
    <b:Title>La importancia del análisis y la estimación de costos</b:Title>
    <b:JournalName>Universidad de Esan</b:JournalName>
    <b:Author>
      <b:Author>
        <b:NameList>
          <b:Person>
            <b:Last>Lambretón</b:Last>
            <b:First>V.</b:First>
          </b:Person>
        </b:NameList>
      </b:Author>
    </b:Author>
    <b:Year>2015</b:Year>
    <b:RefOrder>14</b:RefOrder>
  </b:Source>
  <b:Source>
    <b:Tag>Ará16</b:Tag>
    <b:SourceType>Book</b:SourceType>
    <b:Guid>{28E4B006-F742-484C-A8FE-6526C853BE26}</b:Guid>
    <b:Title>Propuesta de diseño y aplicación de un sistema de costos por proceso</b:Title>
    <b:Year>2016</b:Year>
    <b:City>Ecuador</b:City>
    <b:Author>
      <b:Author>
        <b:NameList>
          <b:Person>
            <b:Last>Arámbulo</b:Last>
            <b:Middle>Sofia</b:Middle>
            <b:First>Ana</b:First>
          </b:Person>
          <b:Person>
            <b:Last>Mite</b:Last>
            <b:Middle>Luis</b:Middle>
            <b:First>José</b:First>
          </b:Person>
        </b:NameList>
      </b:Author>
    </b:Author>
    <b:RefOrder>15</b:RefOrder>
  </b:Source>
  <b:Source>
    <b:Tag>Lóp11</b:Tag>
    <b:SourceType>JournalArticle</b:SourceType>
    <b:Guid>{4D9BC048-6FF1-417F-82ED-078A12416ED4}</b:Guid>
    <b:Title>Sistema de costos ABC en la mediana empresa industrial Mexicana</b:Title>
    <b:Year>2011</b:Year>
    <b:City>Bogotá</b:City>
    <b:JournalName>Cuad. Contab.</b:JournalName>
    <b:Pages>23-43</b:Pages>
    <b:Author>
      <b:Author>
        <b:NameList>
          <b:Person>
            <b:Last>López</b:Last>
            <b:First>M.</b:First>
          </b:Person>
          <b:Person>
            <b:Last>Gómez</b:Last>
            <b:First>A.</b:First>
          </b:Person>
          <b:Person>
            <b:Last>Marín</b:Last>
            <b:First>S.</b:First>
          </b:Person>
        </b:NameList>
      </b:Author>
    </b:Author>
    <b:Volume>12</b:Volume>
    <b:Issue>30</b:Issue>
    <b:RefOrder>16</b:RefOrder>
  </b:Source>
  <b:Source>
    <b:Tag>Are18</b:Tag>
    <b:SourceType>Book</b:SourceType>
    <b:Guid>{2459488F-0A0E-403E-96F8-8502114F8D53}</b:Guid>
    <b:Title>Implementación de costos ABC y su incidencia en la rentabilidad en una empresa Industrial, Lima, 201</b:Title>
    <b:Year>2018</b:Year>
    <b:Author>
      <b:Author>
        <b:NameList>
          <b:Person>
            <b:Last>Arellano</b:Last>
            <b:First>L.</b:First>
          </b:Person>
        </b:NameList>
      </b:Author>
    </b:Author>
    <b:City>Lima</b:City>
    <b:RefOrder>17</b:RefOrder>
  </b:Source>
  <b:Source>
    <b:Tag>Tar16</b:Tag>
    <b:SourceType>Book</b:SourceType>
    <b:Guid>{11A51433-A0EC-408C-A2F5-022A77DEC62A}</b:Guid>
    <b:Title>Determinación del costo de producción y rentabilidad de puertas especiales combinadas de fierro y madera en las industrias de metal mecánica en la ciudad de Yunguyo.</b:Title>
    <b:Year>2016</b:Year>
    <b:City>Puno</b:City>
    <b:Author>
      <b:Author>
        <b:NameList>
          <b:Person>
            <b:Last>Tarqui</b:Last>
            <b:Middle>Raúl</b:Middle>
            <b:First>Walther</b:First>
          </b:Person>
        </b:NameList>
      </b:Author>
    </b:Author>
    <b:RefOrder>18</b:RefOrder>
  </b:Source>
  <b:Source>
    <b:Tag>Hor12</b:Tag>
    <b:SourceType>Book</b:SourceType>
    <b:Guid>{21D28B5F-7523-4B5E-B6BC-56508117BD87}</b:Guid>
    <b:Title>Contabilidad de costos. Un enfoque gerencial</b:Title>
    <b:Year>2012</b:Year>
    <b:City>México</b:City>
    <b:Publisher>Cámara Nacional de la Industria Editorial Mexicana.</b:Publisher>
    <b:Author>
      <b:Author>
        <b:NameList>
          <b:Person>
            <b:Last>Horngren</b:Last>
            <b:First>C.</b:First>
          </b:Person>
          <b:Person>
            <b:Last>Datar</b:Last>
            <b:First>S.</b:First>
          </b:Person>
          <b:Person>
            <b:Last>Rajan </b:Last>
            <b:First>M.</b:First>
          </b:Person>
        </b:NameList>
      </b:Author>
    </b:Author>
    <b:RefOrder>19</b:RefOrder>
  </b:Source>
  <b:Source>
    <b:Tag>Var09</b:Tag>
    <b:SourceType>Book</b:SourceType>
    <b:Guid>{645A1296-5ABB-4127-B2D2-A083CD4F4E15}</b:Guid>
    <b:Title>Contabilidad de costos, Programa Tecnología en las gestión Pública contable</b:Title>
    <b:Year> 2009</b:Year>
    <b:City>Bogotá</b:City>
    <b:Author>
      <b:Author>
        <b:NameList>
          <b:Person>
            <b:Last>Vargas</b:Last>
            <b:First>R.</b:First>
          </b:Person>
        </b:NameList>
      </b:Author>
    </b:Author>
    <b:RefOrder>20</b:RefOrder>
  </b:Source>
  <b:Source>
    <b:Tag>Rob12</b:Tag>
    <b:SourceType>Book</b:SourceType>
    <b:Guid>{32702B3D-E3C9-42F1-BFE7-17ADCB5A8554}</b:Guid>
    <b:Title>Costos Históricos</b:Title>
    <b:Year>2012</b:Year>
    <b:City>México</b:City>
    <b:Publisher>Eduardo Durán Valdivieso </b:Publisher>
    <b:Author>
      <b:Author>
        <b:NameList>
          <b:Person>
            <b:Last>Robles</b:Last>
            <b:First>C.</b:First>
          </b:Person>
        </b:NameList>
      </b:Author>
    </b:Author>
    <b:RefOrder>21</b:RefOrder>
  </b:Source>
  <b:Source>
    <b:Tag>Flo141</b:Tag>
    <b:SourceType>Book</b:SourceType>
    <b:Guid>{9E04CB38-7343-41F0-A395-CFB5A1D29948}</b:Guid>
    <b:Title>Costos y presupuestos</b:Title>
    <b:Year>2014</b:Year>
    <b:Author>
      <b:Author>
        <b:NameList>
          <b:Person>
            <b:Last>Flores</b:Last>
            <b:First>Jaime</b:First>
          </b:Person>
        </b:NameList>
      </b:Author>
    </b:Author>
    <b:City>Lima</b:City>
    <b:Publisher>Centro de especialización en contabilidad y finanzas E.I.R.L.</b:Publisher>
    <b:RefOrder>22</b:RefOrder>
  </b:Source>
  <b:Source>
    <b:Tag>MarcadorDePosición3</b:Tag>
    <b:SourceType>Book</b:SourceType>
    <b:Guid>{99ACAB3E-0A68-419B-A4A6-FD16BE185E98}</b:Guid>
    <b:Title>Fundamentos y Técnicas de costos</b:Title>
    <b:Year>2010</b:Year>
    <b:City>Colombia</b:City>
    <b:Publisher>Universidad Libre, Sede Cartagena</b:Publisher>
    <b:Author>
      <b:Author>
        <b:NameList>
          <b:Person>
            <b:Last>Ramirez</b:Last>
            <b:First>C.</b:First>
          </b:Person>
          <b:Person>
            <b:Last>García</b:Last>
            <b:First>M.</b:First>
          </b:Person>
          <b:Person>
            <b:Last>Pantoja</b:Last>
            <b:First>C.</b:First>
          </b:Person>
        </b:NameList>
      </b:Author>
    </b:Author>
    <b:RefOrder>23</b:RefOrder>
  </b:Source>
  <b:Source>
    <b:Tag>Aba15</b:Tag>
    <b:SourceType>Book</b:SourceType>
    <b:Guid>{133BC794-DC57-4D87-BF3A-D08C69A35CDD}</b:Guid>
    <b:Title>Norma Internacional de Contabilidad </b:Title>
    <b:Year>2015</b:Year>
    <b:City>Lima</b:City>
    <b:Author>
      <b:Author>
        <b:NameList>
          <b:Person>
            <b:Last>Abanto</b:Last>
            <b:First>Martha</b:First>
          </b:Person>
        </b:NameList>
      </b:Author>
    </b:Author>
    <b:RefOrder>24</b:RefOrder>
  </b:Source>
  <b:Source>
    <b:Tag>Pol971</b:Tag>
    <b:SourceType>Book</b:SourceType>
    <b:Guid>{447D0FC3-81AE-4B0E-ADA4-1B8182BFE4F9}</b:Guid>
    <b:Title>Contabilidad de costo</b:Title>
    <b:Year>1997</b:Year>
    <b:City>Colombia</b:City>
    <b:Publisher>Martha Edna Suárez R.</b:Publisher>
    <b:Author>
      <b:Author>
        <b:NameList>
          <b:Person>
            <b:Last>Polimeni</b:Last>
            <b:First>Ralph</b:First>
          </b:Person>
          <b:Person>
            <b:Last>Fabozzi</b:Last>
            <b:First>Frank</b:First>
          </b:Person>
          <b:Person>
            <b:Last>Adelberg</b:Last>
            <b:First>Arthur</b:First>
          </b:Person>
          <b:Person>
            <b:Last>Kole</b:Last>
            <b:First>Michael</b:First>
          </b:Person>
        </b:NameList>
      </b:Author>
    </b:Author>
    <b:URL>http://fullseguridad.net/wp-content/uploads/2017/01/Contabilidad-de-costos-3ra-Edici%C3%B3n-Ralph-S.-Polimeni.pdf</b:URL>
    <b:RefOrder>25</b:RefOrder>
  </b:Source>
  <b:Source>
    <b:Tag>Her</b:Tag>
    <b:SourceType>Book</b:SourceType>
    <b:Guid>{4D77F82B-D766-40B7-8765-F420962537FE}</b:Guid>
    <b:Title>Metodología de la Investigación. Las Rutas Cuantitativa, Cualitativa y Mixta</b:Title>
    <b:Author>
      <b:Author>
        <b:NameList>
          <b:Person>
            <b:Last>Hernández</b:Last>
            <b:First>R.</b:First>
          </b:Person>
          <b:Person>
            <b:Last>Mendoza</b:Last>
            <b:First>C.</b:First>
          </b:Person>
        </b:NameList>
      </b:Author>
    </b:Author>
    <b:Year>2018</b:Year>
    <b:City>México</b:City>
    <b:RefOrder>26</b:RefOrder>
  </b:Source>
  <b:Source>
    <b:Tag>Hur04</b:Tag>
    <b:SourceType>Book</b:SourceType>
    <b:Guid>{5F354665-0490-488E-B59B-C59040D5B999}</b:Guid>
    <b:Title>Como formular objetivo de investigación </b:Title>
    <b:Year>2004</b:Year>
    <b:City>Bogotá</b:City>
    <b:Publisher>Cooperativo editorial Magisterio</b:Publisher>
    <b:Author>
      <b:Author>
        <b:NameList>
          <b:Person>
            <b:Last>Hurtado</b:Last>
            <b:First>J.</b:First>
          </b:Person>
        </b:NameList>
      </b:Author>
    </b:Author>
    <b:RefOrder>27</b:RefOrder>
  </b:Source>
  <b:Source>
    <b:Tag>Car19</b:Tag>
    <b:SourceType>Book</b:SourceType>
    <b:Guid>{E7DE5B3C-27BE-4C17-81B3-CF6A81952816}</b:Guid>
    <b:Title>Metodología para la investigación holística</b:Title>
    <b:Year>2019</b:Year>
    <b:City>Ecuador</b:City>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Publisher>universidad internacional Guayaquil</b:Publisher>
    <b:RefOrder>28</b:RefOrder>
  </b:Source>
  <b:Source>
    <b:Tag>Cid15</b:Tag>
    <b:SourceType>Book</b:SourceType>
    <b:Guid>{D8C179F8-5D25-4ADA-BEBA-FC5113BE563B}</b:Guid>
    <b:Title>Investigación Fundamentos y metodología</b:Title>
    <b:Year>2015</b:Year>
    <b:City>Lima</b:City>
    <b:Publisher>Pearson educación del Perú S.A.</b:Publisher>
    <b:Author>
      <b:Author>
        <b:NameList>
          <b:Person>
            <b:Last>Cid</b:Last>
            <b:First>A.</b:First>
          </b:Person>
          <b:Person>
            <b:Last>Méndez</b:Last>
            <b:First>R.</b:First>
          </b:Person>
          <b:Person>
            <b:Last>Sandoval</b:Last>
            <b:First>F.</b:First>
          </b:Person>
        </b:NameList>
      </b:Author>
    </b:Author>
    <b:RefOrder>29</b:RefOrder>
  </b:Source>
  <b:Source>
    <b:Tag>Góm12</b:Tag>
    <b:SourceType>Book</b:SourceType>
    <b:Guid>{0B334F3C-3101-4531-99A5-FEE09AC024ED}</b:Guid>
    <b:Title>Metología de investigación</b:Title>
    <b:Year>2012</b:Year>
    <b:City>México</b:City>
    <b:Publisher>Ma. Eugenia Buendía López</b:Publisher>
    <b:Author>
      <b:Author>
        <b:NameList>
          <b:Person>
            <b:Last>Gómez</b:Last>
            <b:First>Sergio</b:First>
          </b:Person>
        </b:NameList>
      </b:Author>
    </b:Author>
    <b:URL>http://www.aliat.org.mx/BibliotecasDigitales/Axiologicas/Metodologia_de_la_investigacion.pdf</b:URL>
    <b:RefOrder>30</b:RefOrder>
  </b:Source>
  <b:Source>
    <b:Tag>Rod19</b:Tag>
    <b:SourceType>JournalArticle</b:SourceType>
    <b:Guid>{6ACD3B98-DEF7-4C6B-8C34-D5744E56A36A}</b:Guid>
    <b:Title>Sobre el análisis de la gestión presupuestaria con enfoque de riesgos</b:Title>
    <b:JournalName>Scielo</b:JournalName>
    <b:Year>2019</b:Year>
    <b:Pages>23-44</b:Pages>
    <b:Author>
      <b:Author>
        <b:NameList>
          <b:Person>
            <b:Last>Rodríguez</b:Last>
            <b:First>H.</b:First>
          </b:Person>
          <b:Person>
            <b:Last>Fernandez</b:Last>
            <b:First>A.</b:First>
          </b:Person>
          <b:Person>
            <b:Last>De Dios</b:Last>
            <b:First>A.</b:First>
          </b:Person>
        </b:NameList>
      </b:Author>
    </b:Author>
    <b:Volume>9</b:Volume>
    <b:Issue>1</b:Issue>
    <b:Month>Mayo</b:Month>
    <b:RefOrder>31</b:RefOrder>
  </b:Source>
  <b:Source>
    <b:Tag>San</b:Tag>
    <b:SourceType>JournalArticle</b:SourceType>
    <b:Guid>{AB36371A-96DD-4061-82C0-4034D08569B7}</b:Guid>
    <b:Title>Las Técnicas Presupuestarias Tradicionales y su Modernización: Hacia una gestión por resultados y metas</b:Title>
    <b:JournalName>ResearchGate</b:JournalName>
    <b:Author>
      <b:Author>
        <b:NameList>
          <b:Person>
            <b:Last>Sanz</b:Last>
            <b:First>A.</b:First>
          </b:Person>
        </b:NameList>
      </b:Author>
    </b:Author>
    <b:Year>2016</b:Year>
    <b:Month>Enero</b:Month>
    <b:Volume>4</b:Volume>
    <b:RefOrder>32</b:RefOrder>
  </b:Source>
  <b:Source>
    <b:Tag>Fra18</b:Tag>
    <b:SourceType>JournalArticle</b:SourceType>
    <b:Guid>{F67D61B2-96CB-4EC5-8C89-808B36643F68}</b:Guid>
    <b:Title>Planeacion presupuestaria y su incidencia en la toma de desiciones finacieras.</b:Title>
    <b:JournalName>Observatorio de la Economía</b:JournalName>
    <b:Year>2018</b:Year>
    <b:Pages>1-10</b:Pages>
    <b:Author>
      <b:Author>
        <b:NameList>
          <b:Person>
            <b:Last>Fray</b:Last>
            <b:First>P.</b:First>
          </b:Person>
          <b:Person>
            <b:Last>Lara</b:Last>
            <b:First>B.</b:First>
          </b:Person>
        </b:NameList>
      </b:Author>
    </b:Author>
    <b:URL>http://www.eumed.net/2/rev/oel/2018/02/decisiones-financieras.html</b:URL>
    <b:RefOrder>33</b:RefOrder>
  </b:Source>
  <b:Source>
    <b:Tag>Min19</b:Tag>
    <b:SourceType>InternetSite</b:SourceType>
    <b:Guid>{0DF54ABA-0441-4076-A85E-810F0815A023}</b:Guid>
    <b:Title>Proyecto de Ley de Presupuesto del Sector Público prioriza la continuidad de políticas públicas para el año 2020</b:Title>
    <b:Year>2019</b:Year>
    <b:Month>Agosto</b:Month>
    <b:Day>29</b:Day>
    <b:URL>https://www.mef.gob.pe/es/correo-institucional</b:URL>
    <b:Author>
      <b:Author>
        <b:NameList>
          <b:Person>
            <b:Last>Ministerio</b:Last>
            <b:First>EF.</b:First>
          </b:Person>
        </b:NameList>
      </b:Author>
    </b:Author>
    <b:RefOrder>34</b:RefOrder>
  </b:Source>
  <b:Source>
    <b:Tag>Pér18</b:Tag>
    <b:SourceType>JournalArticle</b:SourceType>
    <b:Guid>{A679C510-82E0-472E-BA6E-BD2B0AAAC40C}</b:Guid>
    <b:Title>Gestión Presupuestaria como factor determinante de la Rentabilidad en empresas hoteleras del Perú (2012 – 2016)</b:Title>
    <b:Year>2018</b:Year>
    <b:Month>Agosto</b:Month>
    <b:Day>19</b:Day>
    <b:JournalName>Quipukamayoc - Revistas UNMSM</b:JournalName>
    <b:Pages>63-72</b:Pages>
    <b:Volume>26</b:Volume>
    <b:Issue>51</b:Issue>
    <b:Author>
      <b:Author>
        <b:NameList>
          <b:Person>
            <b:Last>Pérez</b:Last>
            <b:First>M.</b:First>
          </b:Person>
        </b:NameList>
      </b:Author>
    </b:Author>
    <b:RefOrder>35</b:RefOrder>
  </b:Source>
  <b:Source>
    <b:Tag>mun17</b:Tag>
    <b:SourceType>DocumentFromInternetSite</b:SourceType>
    <b:Guid>{F49DEC86-508A-46E1-835A-E23092CFAA57}</b:Guid>
    <b:Title>Revision de Gastos Públicos</b:Title>
    <b:Year>2017</b:Year>
    <b:Pages>1-239</b:Pages>
    <b:Publisher>Public Disclosure Authorized</b:Publisher>
    <b:Month>Junio</b:Month>
    <b:Day>16</b:Day>
    <b:URL>http://documentos.bancomundial.org/curated/es/554021521229272108/pdf/Peru-Revision-del-Gasto-Publico-2018-final.pdf</b:URL>
    <b:LCID>es-PE</b:LCID>
    <b:Author>
      <b:Author>
        <b:NameList>
          <b:Person>
            <b:Last>Mundial</b:Last>
            <b:First>Banco</b:First>
          </b:Person>
        </b:NameList>
      </b:Author>
      <b:Editor>
        <b:NameList>
          <b:Person>
            <b:Last>Authorized</b:Last>
            <b:First>Public</b:First>
            <b:Middle>Disclosure</b:Middle>
          </b:Person>
        </b:NameList>
      </b:Editor>
    </b:Author>
    <b:RefOrder>36</b:RefOrder>
  </b:Source>
  <b:Source xmlns:b="http://schemas.openxmlformats.org/officeDocument/2006/bibliography">
    <b:Tag>Con19</b:Tag>
    <b:SourceType>Book</b:SourceType>
    <b:Guid>{5D4B221B-33A5-4C8C-BE7A-F45D0A8CC366}</b:Guid>
    <b:Title>Control y Evaluación Presupuestaria como herramienta de mejora de Gestión Institucional en la Universidad de Investigación de Tecnología Experimental Yachay</b:Title>
    <b:Year>2019</b:Year>
    <b:City>Ecuador</b:City>
    <b:Publisher>Instituto de Altos Estudios Nacionales Universidad de Postgrado del Estado</b:Publisher>
    <b:Author>
      <b:Author>
        <b:NameList>
          <b:Person>
            <b:Last>Almeida</b:Last>
            <b:First>T.</b:First>
          </b:Person>
        </b:NameList>
      </b:Author>
    </b:Author>
    <b:RefOrder>37</b:RefOrder>
  </b:Source>
  <b:Source>
    <b:Tag>MarcadorDePosición4</b:Tag>
    <b:SourceType>JournalArticle</b:SourceType>
    <b:Guid>{60AEC9D0-2BC4-4683-B975-16C0DA0C1100}</b:Guid>
    <b:Title>Presupuesto como Instrumento de Control Financiero en Pequeñas Empresas de Estructura Familiar</b:Title>
    <b:Year>2017</b:Year>
    <b:JournalName>Revista Científica Electrónica de Ciencias Gerenciales / Scientific e-journal of Management Science</b:JournalName>
    <b:Pages>33-48</b:Pages>
    <b:Author>
      <b:Author>
        <b:NameList>
          <b:Person>
            <b:Last>Parra</b:Last>
            <b:First>J.</b:First>
          </b:Person>
          <b:Person>
            <b:Last>La Madrid</b:Last>
            <b:First>J.</b:First>
          </b:Person>
        </b:NameList>
      </b:Author>
    </b:Author>
    <b:Month>noviembre</b:Month>
    <b:Volume>13</b:Volume>
    <b:Issue>38</b:Issue>
    <b:URL>http://www.redalyc.org/articulo.oa?id=78253678003</b:URL>
    <b:DOI>E-ISSN: 1856-1810</b:DOI>
    <b:RefOrder>38</b:RefOrder>
  </b:Source>
  <b:Source>
    <b:Tag>Riv15</b:Tag>
    <b:SourceType>Book</b:SourceType>
    <b:Guid>{FA329A2B-BF20-48F8-973F-6F1E4158B56F}</b:Guid>
    <b:Title>El presupuesto y la Gestión Financiera en la Institución Educativa N° 6065 “Perú Inglaterra” del Distrito de Villa El Salvador</b:Title>
    <b:Year>2015</b:Year>
    <b:City>Lima</b:City>
    <b:Publisher>Universidad Nacional de Educación "Enrique Gusmán y Valle"</b:Publisher>
    <b:Author>
      <b:Author>
        <b:NameList>
          <b:Person>
            <b:Last>Rivas</b:Last>
            <b:First>E.</b:First>
          </b:Person>
        </b:NameList>
      </b:Author>
    </b:Author>
    <b:RefOrder>39</b:RefOrder>
  </b:Source>
  <b:Source>
    <b:Tag>Che18</b:Tag>
    <b:SourceType>Book</b:SourceType>
    <b:Guid>{BD6AAB51-59DF-40A1-B539-C7C96D4EFE7B}</b:Guid>
    <b:Title>Influencia del Presupuesto por Resultados en la Gestión Financiera Presupuestal de la Unidad Ejecutora 303 Educación Ferreñafe</b:Title>
    <b:Year>2018</b:Year>
    <b:City>Pimentel</b:City>
    <b:Publisher>Universidad Señor de Sipán </b:Publisher>
    <b:Author>
      <b:Author>
        <b:NameList>
          <b:Person>
            <b:Last>Cherres</b:Last>
            <b:First>L.</b:First>
          </b:Person>
        </b:NameList>
      </b:Author>
    </b:Author>
    <b:RefOrder>40</b:RefOrder>
  </b:Source>
  <b:Source>
    <b:Tag>Hur</b:Tag>
    <b:SourceType>Book</b:SourceType>
    <b:Guid>{05C90B55-748B-4800-B7F3-52022101112C}</b:Guid>
    <b:Author>
      <b:Author>
        <b:NameList>
          <b:Person>
            <b:Last>Hurtado</b:Last>
            <b:First>J.</b:First>
          </b:Person>
        </b:NameList>
      </b:Author>
    </b:Author>
    <b:Title>Metología de la Investigacion Holistica</b:Title>
    <b:Year>2000</b:Year>
    <b:City>Caracas</b:City>
    <b:Publisher>Fundación SYPAL</b:Publisher>
    <b:CountryRegion>Venezuela</b:CountryRegion>
    <b:Pages>29 y 463</b:Pages>
    <b:RefOrder>41</b:RefOrder>
  </b:Source>
  <b:Source>
    <b:Tag>Góm06</b:Tag>
    <b:SourceType>Book</b:SourceType>
    <b:Guid>{40706114-2022-4215-A16E-C76B4D842257}</b:Guid>
    <b:Title>Introducción a la Metodología de la investigación científica</b:Title>
    <b:Year>2006</b:Year>
    <b:City>Cordoba</b:City>
    <b:Publisher>Argentina. Brujas</b:Publisher>
    <b:Author>
      <b:Author>
        <b:NameList>
          <b:Person>
            <b:Last>Gómez</b:Last>
            <b:First>M.</b:First>
          </b:Person>
        </b:NameList>
      </b:Author>
    </b:Author>
    <b:URL>https://independent.academia.edu/NelsonGomez7</b:URL>
    <b:Pages>176</b:Pages>
    <b:RefOrder>42</b:RefOrder>
  </b:Source>
  <b:Source>
    <b:Tag>MarcadorDePosición5</b:Tag>
    <b:SourceType>Book</b:SourceType>
    <b:Guid>{A4BA0A36-4160-47DE-B205-28F5D42B16A4}</b:Guid>
    <b:Author>
      <b:Author>
        <b:NameList>
          <b:Person>
            <b:Last>Carhuancho</b:Last>
            <b:First>I.</b:First>
          </b:Person>
          <b:Person>
            <b:Last>Nolazco</b:Last>
            <b:First>F.</b:First>
          </b:Person>
          <b:Person>
            <b:Last>Sicheri</b:Last>
            <b:First>L.</b:First>
          </b:Person>
          <b:Person>
            <b:Last>Guerrero</b:Last>
            <b:First>M.</b:First>
          </b:Person>
          <b:Person>
            <b:Last>Casana</b:Last>
            <b:First>K.</b:First>
          </b:Person>
        </b:NameList>
      </b:Author>
    </b:Author>
    <b:Title>Metodología para la investigación holística</b:Title>
    <b:Year>2019</b:Year>
    <b:City>Guayaquil,Ecuador</b:City>
    <b:Publisher>UIDE</b:Publisher>
    <b:RefOrder>43</b:RefOrder>
  </b:Source>
  <b:Source>
    <b:Tag>Par00</b:Tag>
    <b:SourceType>Book</b:SourceType>
    <b:Guid>{A0263A3E-3992-411B-ACFD-815FB35349B2}</b:Guid>
    <b:Title>Teoría Financiera Moderna fundamentos y métodos</b:Title>
    <b:Year>2000</b:Year>
    <b:City>Santiago</b:City>
    <b:Publisher>ConoSur ltda.</b:Publisher>
    <b:Pages>16-17</b:Pages>
    <b:Author>
      <b:Author>
        <b:NameList>
          <b:Person>
            <b:Last>Parada</b:Last>
            <b:First>R.</b:First>
          </b:Person>
        </b:NameList>
      </b:Author>
    </b:Author>
    <b:CountryRegion>Chile</b:CountryRegion>
    <b:DOI>ISBN:9562382532</b:DOI>
    <b:RefOrder>44</b:RefOrder>
  </b:Source>
  <b:Source>
    <b:Tag>Ast12</b:Tag>
    <b:SourceType>Book</b:SourceType>
    <b:Guid>{DBC2C1A9-7FDD-426E-ADC3-2D56362726DF}</b:Guid>
    <b:Title>Fundamentos de Economía</b:Title>
    <b:Year>2012</b:Year>
    <b:City>México</b:City>
    <b:Publisher>Instituto de Investigaciones Económicas: Probooks</b:Publisher>
    <b:Author>
      <b:Author>
        <b:NameList>
          <b:Person>
            <b:Last>Astudillo</b:Last>
            <b:First>M.</b:First>
          </b:Person>
        </b:NameList>
      </b:Author>
    </b:Author>
    <b:Pages>24</b:Pages>
    <b:Edition>1ra Edicion</b:Edition>
    <b:RefOrder>45</b:RefOrder>
  </b:Source>
  <b:Source>
    <b:Tag>Sam10</b:Tag>
    <b:SourceType>Book</b:SourceType>
    <b:Guid>{9D652749-A2EA-4D64-A690-D5DAA1ACF48A}</b:Guid>
    <b:Title>Economía con aplicaciones a Latinoamérica</b:Title>
    <b:Year>2010</b:Year>
    <b:City>México</b:City>
    <b:Publisher>McGraw-Hill </b:Publisher>
    <b:Author>
      <b:Author>
        <b:NameList>
          <b:Person>
            <b:Last>Samuelson</b:Last>
            <b:First>P.</b:First>
          </b:Person>
          <b:Person>
            <b:Last>Nordhaus</b:Last>
            <b:First>W.</b:First>
          </b:Person>
        </b:NameList>
      </b:Author>
    </b:Author>
    <b:Pages>57</b:Pages>
    <b:Edition>Decimonovena Edición</b:Edition>
    <b:RefOrder>46</b:RefOrder>
  </b:Source>
  <b:Source>
    <b:Tag>Fer14</b:Tag>
    <b:SourceType>JournalArticle</b:SourceType>
    <b:Guid>{CAC06B25-E08E-4A78-9435-F31D02035601}</b:Guid>
    <b:Title>El Planteamiento Costos para Gestión LA</b:Title>
    <b:JournalName>Facultad de Ciencias Económicas</b:JournalName>
    <b:Year>2014</b:Year>
    <b:Pages>5</b:Pages>
    <b:Author>
      <b:Author>
        <b:NameList>
          <b:Person>
            <b:Last>Ferraro</b:Last>
            <b:First>G.</b:First>
          </b:Person>
        </b:NameList>
      </b:Author>
    </b:Author>
    <b:URL>https://apps.econ.unicen.edu.ar/sitios/costos/wp-content/uploads/2015/05/iPRESUP.pdf</b:URL>
    <b:RefOrder>47</b:RefOrder>
  </b:Source>
  <b:Source>
    <b:Tag>Ram08</b:Tag>
    <b:SourceType>Book</b:SourceType>
    <b:Guid>{594AD282-7385-41F4-837C-E5837C4B18FF}</b:Guid>
    <b:Title>Contabilidad Administrativa</b:Title>
    <b:Year>2008</b:Year>
    <b:City>México</b:City>
    <b:Publisher>McGraw-Hill Interamericana</b:Publisher>
    <b:Author>
      <b:Author>
        <b:NameList>
          <b:Person>
            <b:Last>Ramírez</b:Last>
            <b:First>D.</b:First>
          </b:Person>
        </b:NameList>
      </b:Author>
    </b:Author>
    <b:Pages>270</b:Pages>
    <b:Edition>Octava edición</b:Edition>
    <b:URL>www.freelibros.me</b:URL>
    <b:RefOrder>48</b:RefOrder>
  </b:Source>
  <b:Source>
    <b:Tag>Via</b:Tag>
    <b:SourceType>Book</b:SourceType>
    <b:Guid>{EBBFE815-C5D7-4E71-9BB6-561F62755527}</b:Guid>
    <b:Title>Manual de Costos y Presupuestos</b:Title>
    <b:Author>
      <b:Author>
        <b:NameList>
          <b:Person>
            <b:Last>Viaña</b:Last>
            <b:First>L.</b:First>
          </b:Person>
        </b:NameList>
      </b:Author>
    </b:Author>
    <b:Year>2014</b:Year>
    <b:City>Colombia</b:City>
    <b:Publisher>Instituto Tecnológico de Soledad Atlántico</b:Publisher>
    <b:Pages>57</b:Pages>
    <b:URL>http://www.itsa.edu.co/docs/3-L-Viana-Manual-de-Costos-y-Presupuestos.pdf</b:URL>
    <b:RefOrder>49</b:RefOrder>
  </b:Source>
  <b:Source>
    <b:Tag>Col12</b:Tag>
    <b:SourceType>JournalArticle</b:SourceType>
    <b:Guid>{AC849C22-DCDF-4ED9-81A5-AA49E68E3EB3}</b:Guid>
    <b:Title>La Planificación Presupuestaria en Universidades Públicas</b:Title>
    <b:JournalName>Dialnet</b:JournalName>
    <b:Year>2012</b:Year>
    <b:Pages>5</b:Pages>
    <b:City>Venezuela</b:City>
    <b:Author>
      <b:Author>
        <b:NameList>
          <b:Person>
            <b:Last>Colina</b:Last>
            <b:First>L.</b:First>
          </b:Person>
          <b:Person>
            <b:Last>Cubillán</b:Last>
            <b:First>A.</b:First>
          </b:Person>
        </b:NameList>
      </b:Author>
    </b:Author>
    <b:Volume>10</b:Volume>
    <b:RefOrder>50</b:RefOrder>
  </b:Source>
  <b:Source>
    <b:Tag>Rin11</b:Tag>
    <b:SourceType>Book</b:SourceType>
    <b:Guid>{3982E9DE-4484-4FC4-B8E1-80009045FB69}</b:Guid>
    <b:Title>Presupuestos empresariales</b:Title>
    <b:Year>2011</b:Year>
    <b:Pages>14</b:Pages>
    <b:City>Bogotá</b:City>
    <b:Publisher>Eco Ediciones</b:Publisher>
    <b:Author>
      <b:Author>
        <b:NameList>
          <b:Person>
            <b:Last>Rincón</b:Last>
            <b:First>C.</b:First>
          </b:Person>
        </b:NameList>
      </b:Author>
    </b:Author>
    <b:Edition>1° Edicion</b:Edition>
    <b:URL>https://www.academia.edu/35646497/Presupuestos-empresariales</b:URL>
    <b:RefOrder>51</b:RefOrder>
  </b:Source>
  <b:Source>
    <b:Tag>Fer13</b:Tag>
    <b:SourceType>JournalArticle</b:SourceType>
    <b:Guid>{8F8F535C-364A-4C42-B75C-87FCCF757849}</b:Guid>
    <b:Title>La gestión económico-presupuestaria en las Administraciones Públicas</b:Title>
    <b:Year>2013</b:Year>
    <b:City>Madrid</b:City>
    <b:Publisher>Escuela Nacional de Sanidad ENS</b:Publisher>
    <b:Author>
      <b:Author>
        <b:NameList>
          <b:Person>
            <b:Last>Fernández </b:Last>
            <b:First>Á.</b:First>
          </b:Person>
        </b:NameList>
      </b:Author>
    </b:Author>
    <b:JournalName>Espacios</b:JournalName>
    <b:Pages>5</b:Pages>
    <b:URL>http://e-spacio.uned.es/fez/eserv/bibliuned:500844/n11.1_La_gesti__n_econ__mico-presupuestaria.pdf</b:URL>
    <b:RefOrder>52</b:RefOrder>
  </b:Source>
  <b:Source>
    <b:Tag>Ber10</b:Tag>
    <b:SourceType>Book</b:SourceType>
    <b:Guid>{832CA72C-0C9C-48BF-AEDF-EAF715C2CE96}</b:Guid>
    <b:Title>Metodología de la investigación administración, economía, humanidades y ciencias sociales</b:Title>
    <b:Year>2010</b:Year>
    <b:Pages>60</b:Pages>
    <b:City>Colombia</b:City>
    <b:Publisher>Pearsón Educación</b:Publisher>
    <b:Author>
      <b:Author>
        <b:NameList>
          <b:Person>
            <b:Last>Bernal</b:Last>
            <b:First>C.</b:First>
          </b:Person>
        </b:NameList>
      </b:Author>
    </b:Author>
    <b:Edition>Tercera Edición</b:Edition>
    <b:DOI>ISBN: 978-958-699-128-5</b:DOI>
    <b:RefOrder>53</b:RefOrder>
  </b:Source>
  <b:Source>
    <b:Tag>Sán18</b:Tag>
    <b:SourceType>Book</b:SourceType>
    <b:Guid>{10CF70AA-2607-430D-BAD6-F4D70C00D2C0}</b:Guid>
    <b:Title>Manual de términos en investigación científica, tecnológica y humanística</b:Title>
    <b:Year>2018</b:Year>
    <b:City>Lima - Perú</b:City>
    <b:Publisher>Universidad Ricardo Palma</b:Publisher>
    <b:Author>
      <b:Author>
        <b:NameList>
          <b:Person>
            <b:Last>Sánchez</b:Last>
            <b:First>H.</b:First>
          </b:Person>
          <b:Person>
            <b:Last>Reyes</b:Last>
            <b:First>C.</b:First>
          </b:Person>
          <b:Person>
            <b:Last>Mejía</b:Last>
            <b:First>K.</b:First>
          </b:Person>
        </b:NameList>
      </b:Author>
    </b:Author>
    <b:Pages>90</b:Pages>
    <b:Edition>Primera Edición</b:Edition>
    <b:DOI>ISBN Nº 978-612-47351-4-1</b:DOI>
    <b:RefOrder>54</b:RefOrder>
  </b:Source>
  <b:Source>
    <b:Tag>Var12</b:Tag>
    <b:SourceType>Book</b:SourceType>
    <b:Guid>{57ADE12A-EF53-40FC-8049-2ABB3EB627E4}</b:Guid>
    <b:Title>Desde la Idea hasta la sustentación:7 pasos para una tesis exitosa</b:Title>
    <b:Year>2012</b:Year>
    <b:City>Perú</b:City>
    <b:Publisher>Universidad de San Martín de Porres</b:Publisher>
    <b:Author>
      <b:Author>
        <b:NameList>
          <b:Person>
            <b:Last>Vara</b:Last>
            <b:First>A.</b:First>
          </b:Person>
        </b:NameList>
      </b:Author>
    </b:Author>
    <b:Pages>221</b:Pages>
    <b:Edition>Tercera</b:Edition>
    <b:URL>https://www.administracion.usmp.edu.pe/investigacion/files/7-PASOS-PARA-UNA-TESIS-EXITOSA-Desde-la-idea-inicial-hasta-la-sustentaci%C3%B3n.pdf</b:URL>
    <b:RefOrder>55</b:RefOrder>
  </b:Source>
  <b:Source>
    <b:Tag>Beh08</b:Tag>
    <b:SourceType>Book</b:SourceType>
    <b:Guid>{847E3D1C-8632-4760-B596-0754234EF829}</b:Guid>
    <b:Title>Metodología de la invetigación</b:Title>
    <b:Year>2008</b:Year>
    <b:Publisher>Editorial Shalom</b:Publisher>
    <b:Author>
      <b:Author>
        <b:NameList>
          <b:Person>
            <b:Last>Behar</b:Last>
            <b:First>D.</b:First>
          </b:Person>
        </b:NameList>
      </b:Author>
    </b:Author>
    <b:DOI>ISBN 978-959-212-783-7</b:DOI>
    <b:RefOrder>56</b:RefOrder>
  </b:Source>
  <b:Source>
    <b:Tag>Rod06</b:Tag>
    <b:SourceType>JournalArticle</b:SourceType>
    <b:Guid>{C273ABEB-F033-4AA8-81AC-DF6AB8BDF89F}</b:Guid>
    <b:Title>Factores clave de éxito en la gestión presupuestaria del sector pastas alimenticias en la región zuliana</b:Title>
    <b:Year>2006</b:Year>
    <b:JournalName>Revista Venezolana de Gerencia</b:JournalName>
    <b:Author>
      <b:Author>
        <b:NameList>
          <b:Person>
            <b:Last>Rodríguez</b:Last>
            <b:First>G.</b:First>
          </b:Person>
          <b:Person>
            <b:Last>Vílchez</b:Last>
            <b:First>G,</b:First>
          </b:Person>
          <b:Person>
            <b:Last>Urdaneta</b:Last>
            <b:First>A.</b:First>
          </b:Person>
        </b:NameList>
      </b:Author>
    </b:Author>
    <b:Volume>11</b:Volume>
    <b:Issue>35</b:Issue>
    <b:URL>http://ve.scielo.org/scielo.php?script=sci_arttext&amp;pid=S1315-99842006000300004</b:URL>
    <b:Pages>2</b:Pages>
    <b:RefOrder>57</b:RefOrder>
  </b:Source>
  <b:Source>
    <b:Tag>MarcadorDePosición6</b:Tag>
    <b:SourceType>InternetSite</b:SourceType>
    <b:Guid>{9A889864-FA81-4D27-9C39-A47219497C5E}</b:Guid>
    <b:Title>La economía ecuatoriana puede caer hasta 9,6% en este 2020</b:Title>
    <b:Year>2020</b:Year>
    <b:Author>
      <b:Author>
        <b:NameList>
          <b:Person>
            <b:Last>El Comercio</b:Last>
            <b:First>EC</b:First>
          </b:Person>
        </b:NameList>
      </b:Author>
    </b:Author>
    <b:Month>junio</b:Month>
    <b:Day>05</b:Day>
    <b:URL>https://www.elcomercio.com/actualidad/economia-ecuador-banco-central-dolarizacion.html#:~:text=El%20Fondo%20Monetario%20Internacional%20(FMI,%2C5%25%20en%20el%202020.&amp;text=Y%20a%C3%B1ade%20que%20este%20a%C3%B1o,300%20millones%20en%20obra%20p%C3%BAblica.</b:URL>
    <b:RefOrder>58</b:RefOrder>
  </b:Source>
  <b:Source>
    <b:Tag>Aré18</b:Tag>
    <b:SourceType>Book</b:SourceType>
    <b:Guid>{578EE461-EA68-498C-92DB-B13A06CA6F13}</b:Guid>
    <b:Title>Estudio de mercado y estrategias de marketing digital para Foodie 2.0</b:Title>
    <b:Year>2018</b:Year>
    <b:Author>
      <b:Author>
        <b:NameList>
          <b:Person>
            <b:Last>Arévalo</b:Last>
            <b:First>Anggie</b:First>
          </b:Person>
        </b:NameList>
      </b:Author>
    </b:Author>
    <b:City>Guayaquil, Ecuador</b:City>
    <b:Publisher>Universidad de Guayaquil</b:Publisher>
    <b:RefOrder>59</b:RefOrder>
  </b:Source>
  <b:Source>
    <b:Tag>Kot111</b:Tag>
    <b:SourceType>Book</b:SourceType>
    <b:Guid>{C696B4FC-3B41-4C7F-8F7F-68C8BC9969A8}</b:Guid>
    <b:Author>
      <b:Author>
        <b:NameList>
          <b:Person>
            <b:Last>Kotler</b:Last>
            <b:First>P.</b:First>
          </b:Person>
          <b:Person>
            <b:Last>Armstrong</b:Last>
            <b:First>G.</b:First>
          </b:Person>
        </b:NameList>
      </b:Author>
    </b:Author>
    <b:Title>Marketing: Edición para Latinoamérica</b:Title>
    <b:Year>2011</b:Year>
    <b:City>New Jersey, USA</b:City>
    <b:Publisher>8ª ed., Pearson</b:Publisher>
    <b:RefOrder>60</b:RefOrder>
  </b:Source>
  <b:Source>
    <b:Tag>Lam14</b:Tag>
    <b:SourceType>Book</b:SourceType>
    <b:Guid>{DC892E8D-B91F-4CA6-AB41-73505EBEF2BB}</b:Guid>
    <b:Author>
      <b:Author>
        <b:NameList>
          <b:Person>
            <b:Last>Lamb</b:Last>
            <b:First>C.</b:First>
          </b:Person>
          <b:Person>
            <b:Last>Hair</b:Last>
            <b:First>J.</b:First>
          </b:Person>
          <b:Person>
            <b:Last>McDaniel</b:Last>
            <b:First>C.</b:First>
          </b:Person>
        </b:NameList>
      </b:Author>
    </b:Author>
    <b:Title>Marketing</b:Title>
    <b:Year>2014</b:Year>
    <b:City>Estado de México</b:City>
    <b:Publisher>Cengage Learning</b:Publisher>
    <b:RefOrder>61</b:RefOrder>
  </b:Source>
  <b:Source>
    <b:Tag>Sta12</b:Tag>
    <b:SourceType>Book</b:SourceType>
    <b:Guid>{21A1BF3A-ED98-4722-9186-388B38C99FEC}</b:Guid>
    <b:Author>
      <b:Author>
        <b:NameList>
          <b:Person>
            <b:Last>Stanton</b:Last>
            <b:First>William</b:First>
            <b:Middle>J.</b:Middle>
          </b:Person>
          <b:Person>
            <b:Last>Etzel</b:Last>
            <b:First>Michael</b:First>
            <b:Middle>J.</b:Middle>
          </b:Person>
          <b:Person>
            <b:Last>Walker</b:Last>
            <b:First>Bruce</b:First>
            <b:Middle>J.</b:Middle>
          </b:Person>
        </b:NameList>
      </b:Author>
    </b:Author>
    <b:Title>Fundamentos de marketing</b:Title>
    <b:Year>2007</b:Year>
    <b:City>México</b:City>
    <b:Publisher>14ª ed., Mcgraw-Hill Interamericana S.A.</b:Publisher>
    <b:RefOrder>62</b:RefOrder>
  </b:Source>
  <b:Source>
    <b:Tag>Kot121</b:Tag>
    <b:SourceType>Book</b:SourceType>
    <b:Guid>{D8CF6D81-65A5-4A46-A4D6-6E38C9BF679E}</b:Guid>
    <b:Author>
      <b:Author>
        <b:NameList>
          <b:Person>
            <b:Last>Kotler</b:Last>
            <b:First>P.</b:First>
          </b:Person>
        </b:NameList>
      </b:Author>
    </b:Author>
    <b:Title>Dirección de marketing: Conceptos esenciales </b:Title>
    <b:Year>2012</b:Year>
    <b:City>México: </b:City>
    <b:Publisher>14ª ed., Pearson</b:Publisher>
    <b:RefOrder>63</b:RefOrder>
  </b:Source>
  <b:Source>
    <b:Tag>San121</b:Tag>
    <b:SourceType>Book</b:SourceType>
    <b:Guid>{70740835-A8AD-4B8B-9334-5AC88794A230}</b:Guid>
    <b:Author>
      <b:Author>
        <b:NameList>
          <b:Person>
            <b:Last>Santesmases</b:Last>
            <b:First>M.</b:First>
            <b:Middle>M.</b:Middle>
          </b:Person>
        </b:NameList>
      </b:Author>
    </b:Author>
    <b:Title>Marketing: Conceptos y Estrategias </b:Title>
    <b:Year>2012</b:Year>
    <b:City>Madrid</b:City>
    <b:Publisher>Editorial PIRÁMIDE</b:Publisher>
    <b:RefOrder>64</b:RefOrder>
  </b:Source>
  <b:Source>
    <b:Tag>Kot12</b:Tag>
    <b:SourceType>Book</b:SourceType>
    <b:Guid>{4C55E36B-F568-4452-A641-B8668B1CF9C3}</b:Guid>
    <b:Author>
      <b:Author>
        <b:NameList>
          <b:Person>
            <b:Last>Kotler</b:Last>
            <b:First>P.</b:First>
          </b:Person>
          <b:Person>
            <b:Last>Armstrong</b:Last>
            <b:First>G</b:First>
          </b:Person>
        </b:NameList>
      </b:Author>
    </b:Author>
    <b:Title>Fundamentos de Marketing</b:Title>
    <b:Year>2012</b:Year>
    <b:City>México</b:City>
    <b:Publisher>14ª ed. Pearson</b:Publisher>
    <b:RefOrder>65</b:RefOrder>
  </b:Source>
  <b:Source>
    <b:Tag>Muñ15</b:Tag>
    <b:SourceType>Book</b:SourceType>
    <b:Guid>{BEB97FC6-AE37-4A88-9890-0C135D6CCC0A}</b:Guid>
    <b:Title>Marketing en el Siglo XXI</b:Title>
    <b:Year>2015</b:Year>
    <b:Author>
      <b:Author>
        <b:NameList>
          <b:Person>
            <b:Last>Muñiz</b:Last>
            <b:First>R.</b:First>
          </b:Person>
        </b:NameList>
      </b:Author>
    </b:Author>
    <b:City>México D. F.</b:City>
    <b:Publisher>5ª ed. </b:Publisher>
    <b:RefOrder>66</b:RefOrder>
  </b:Source>
  <b:Source>
    <b:Tag>Bae10</b:Tag>
    <b:SourceType>Book</b:SourceType>
    <b:Guid>{6CAFB535-047C-44F0-B62B-3188008148CD}</b:Guid>
    <b:Author>
      <b:Author>
        <b:NameList>
          <b:Person>
            <b:Last>Baena</b:Last>
            <b:First>G.</b:First>
            <b:Middle>V.</b:Middle>
          </b:Person>
          <b:Person>
            <b:Last>Moreno</b:Last>
            <b:First>S.</b:First>
            <b:Middle>M.</b:Middle>
          </b:Person>
        </b:NameList>
      </b:Author>
    </b:Author>
    <b:Title>Instrumentos de marketing: decisiones sobre producto, precio, distribución, comunicación y marketing directo</b:Title>
    <b:Year>2010</b:Year>
    <b:City>Barcelona, España</b:City>
    <b:Publisher>Editorial UOC</b:Publisher>
    <b:RefOrder>67</b:RefOrder>
  </b:Source>
  <b:Source>
    <b:Tag>Jon101</b:Tag>
    <b:SourceType>Book</b:SourceType>
    <b:Guid>{64756B4A-E2D7-4925-90A9-4C9BC9D77359}</b:Guid>
    <b:Author>
      <b:Author>
        <b:NameList>
          <b:Person>
            <b:Last>Jones</b:Last>
            <b:First>G.</b:First>
            <b:Middle>R.</b:Middle>
          </b:Person>
          <b:Person>
            <b:Last>George</b:Last>
            <b:First>J.</b:First>
          </b:Person>
        </b:NameList>
      </b:Author>
    </b:Author>
    <b:Title>Administración Comtemporánea</b:Title>
    <b:Year>2010</b:Year>
    <b:City>México</b:City>
    <b:Publisher>6ª. ed., McGraw Hill</b:Publisher>
    <b:RefOrder>68</b:RefOrder>
  </b:Source>
  <b:Source>
    <b:Tag>Pal181</b:Tag>
    <b:SourceType>Book</b:SourceType>
    <b:Guid>{054B1BD1-1EBB-43C3-ADFF-BA2D18DAC2E2}</b:Guid>
    <b:Author>
      <b:Author>
        <b:NameList>
          <b:Person>
            <b:Last>Paladines</b:Last>
            <b:First>Laura</b:First>
          </b:Person>
        </b:NameList>
      </b:Author>
    </b:Author>
    <b:Title>Plan de marketing para el posicionamiento de la empresa "Inicia" en la ciudad y provincia de Loja en el período 2017</b:Title>
    <b:Year>2018</b:Year>
    <b:City>Loja, Ecuador</b:City>
    <b:Publisher>Universidad Internacional del Ecuador</b:Publisher>
    <b:RefOrder>69</b:RefOrder>
  </b:Source>
  <b:Source>
    <b:Tag>Gir16</b:Tag>
    <b:SourceType>Book</b:SourceType>
    <b:Guid>{91295F4F-A6FC-44F8-ABB6-DAF05D9EC52A}</b:Guid>
    <b:Author>
      <b:Author>
        <b:NameList>
          <b:Person>
            <b:Last>Giraldo</b:Last>
            <b:First>M.</b:First>
          </b:Person>
          <b:Person>
            <b:Last>Juliao</b:Last>
            <b:First>D.</b:First>
          </b:Person>
        </b:NameList>
      </b:Author>
    </b:Author>
    <b:Title>Gerencia de Marketing</b:Title>
    <b:Year>2016</b:Year>
    <b:City>Barranquilla</b:City>
    <b:Publisher>Ecoe Ediciones</b:Publisher>
    <b:RefOrder>70</b:RefOrder>
  </b:Source>
  <b:Source>
    <b:Tag>Val19</b:Tag>
    <b:SourceType>Book</b:SourceType>
    <b:Guid>{D0E549E4-041D-4764-A553-3E06B7E9951E}</b:Guid>
    <b:Author>
      <b:Author>
        <b:NameList>
          <b:Person>
            <b:Last>Vallejo</b:Last>
            <b:First>Liliana</b:First>
          </b:Person>
        </b:NameList>
      </b:Author>
    </b:Author>
    <b:Title>Diseño de un plan de marketing digital de ventas on-line de productos Fitofármacos. Caso: Empresa VR Naturista</b:Title>
    <b:Year>2019</b:Year>
    <b:City>Quito, Ecuador</b:City>
    <b:Publisher>Pontificia Universidad Católica del Ecuador</b:Publisher>
    <b:RefOrder>71</b:RefOrder>
  </b:Source>
  <b:Source>
    <b:Tag>Kot122</b:Tag>
    <b:SourceType>Book</b:SourceType>
    <b:Guid>{5C4249A2-A2EC-4ED2-844D-02A3D5B4E3A5}</b:Guid>
    <b:Author>
      <b:Author>
        <b:NameList>
          <b:Person>
            <b:Last>Kotler</b:Last>
            <b:First>P.</b:First>
          </b:Person>
          <b:Person>
            <b:Last>Armstrong</b:Last>
            <b:First>G</b:First>
          </b:Person>
        </b:NameList>
      </b:Author>
    </b:Author>
    <b:Title>Marketing</b:Title>
    <b:Year>2012</b:Year>
    <b:City>México</b:City>
    <b:Publisher>Pearson Education</b:Publisher>
    <b:RefOrder>72</b:RefOrder>
  </b:Source>
  <b:Source>
    <b:Tag>Sai18</b:Tag>
    <b:SourceType>Book</b:SourceType>
    <b:Guid>{1E254C67-BF84-43A0-9D37-B38BA4416E8F}</b:Guid>
    <b:Author>
      <b:Author>
        <b:NameList>
          <b:Person>
            <b:Last>Sainz de Vicuña</b:Last>
            <b:First>J.</b:First>
            <b:Middle>M.</b:Middle>
          </b:Person>
        </b:NameList>
      </b:Author>
    </b:Author>
    <b:Title>El plan de marketing digital en la práctica</b:Title>
    <b:Year>2018</b:Year>
    <b:City>Madrid, España</b:City>
    <b:Publisher>ESIC Editorial</b:Publisher>
    <b:RefOrder>73</b:RefOrder>
  </b:Source>
  <b:Source>
    <b:Tag>Kad13</b:Tag>
    <b:SourceType>Book</b:SourceType>
    <b:Guid>{705D0298-30AE-47BB-9545-41E23DA21286}</b:Guid>
    <b:Author>
      <b:Author>
        <b:NameList>
          <b:Person>
            <b:Last>Kadushin</b:Last>
            <b:First>C.</b:First>
          </b:Person>
        </b:NameList>
      </b:Author>
    </b:Author>
    <b:Title>Comprender las redes sociales: Teorías, conceptos y hallazgos</b:Title>
    <b:Year>2013</b:Year>
    <b:City>Madrid, España</b:City>
    <b:Publisher>Centro de Investigaciones Sociológicas</b:Publisher>
    <b:RefOrder>74</b:RefOrder>
  </b:Source>
  <b:Source>
    <b:Tag>Vás05</b:Tag>
    <b:SourceType>Book</b:SourceType>
    <b:Guid>{C2B50169-2B34-4525-8C02-1BC820686281}</b:Guid>
    <b:Author>
      <b:Author>
        <b:NameList>
          <b:Person>
            <b:Last>Vásquez</b:Last>
            <b:First>J.</b:First>
            <b:Middle>A.</b:Middle>
          </b:Person>
        </b:NameList>
      </b:Author>
    </b:Author>
    <b:Title>Investigación descriptiva</b:Title>
    <b:Year>2005</b:Year>
    <b:RefOrder>75</b:RefOrder>
  </b:Source>
  <b:Source>
    <b:Tag>Lib131</b:Tag>
    <b:SourceType>Book</b:SourceType>
    <b:Guid>{14AFAF95-357A-468E-91F6-F01566662682}</b:Guid>
    <b:Author>
      <b:Author>
        <b:NameList>
          <b:Person>
            <b:Last>Liberos</b:Last>
            <b:First>E.</b:First>
          </b:Person>
          <b:Person>
            <b:Last>Núñez</b:Last>
            <b:First>Á.</b:First>
          </b:Person>
          <b:Person>
            <b:Last>Bareño</b:Last>
            <b:First>R.</b:First>
          </b:Person>
          <b:Person>
            <b:Last>García</b:Last>
            <b:First>R.</b:First>
          </b:Person>
          <b:Person>
            <b:Last>Gutiérrez</b:Last>
            <b:First>J.</b:First>
            <b:Middle>C.</b:Middle>
          </b:Person>
          <b:Person>
            <b:Last>Pino</b:Last>
            <b:First>G.</b:First>
          </b:Person>
        </b:NameList>
      </b:Author>
    </b:Author>
    <b:Title>El libro del Marketing Interactivo y la Publlicidad Digital</b:Title>
    <b:Year>2013</b:Year>
    <b:City>Madrid, España</b:City>
    <b:Publisher>ESIC Editorial</b:Publisher>
    <b:RefOrder>76</b:RefOrder>
  </b:Source>
  <b:Source>
    <b:Tag>Niz18</b:Tag>
    <b:SourceType>BookSection</b:SourceType>
    <b:Guid>{1B75E778-D559-4361-9118-29A6B328DBC9}</b:Guid>
    <b:Year>2018</b:Year>
    <b:City>Tesis de titulación. Peru</b:City>
    <b:Publisher>Universidad Cesar Vallejo.</b:Publisher>
    <b:Author>
      <b:Author>
        <b:NameList>
          <b:Person>
            <b:Last>Nizama</b:Last>
            <b:First>M.</b:First>
          </b:Person>
        </b:NameList>
      </b:Author>
    </b:Author>
    <b:BookTitle>Perfil del empresario productor de derivados de algarrobo de Piura para la exportación al mercado de Estados Unidos, 2018</b:BookTitle>
    <b:RefOrder>77</b:RefOrder>
  </b:Source>
  <b:Source>
    <b:Tag>Win17</b:Tag>
    <b:SourceType>BookSection</b:SourceType>
    <b:Guid>{A24F09EB-59FC-4804-A8EE-299043F0FF0C}</b:Guid>
    <b:Year>2017</b:Year>
    <b:City>Tesis de titulación. Peru</b:City>
    <b:Publisher>Universidad Cesar Vallejo</b:Publisher>
    <b:Author>
      <b:Author>
        <b:NameList>
          <b:Person>
            <b:Last>Winter</b:Last>
            <b:First>A.</b:First>
          </b:Person>
        </b:NameList>
      </b:Author>
    </b:Author>
    <b:BookTitle>Diagnóstico sobre la producción de Algarrobina para el mercado de la Unión Europea: “Caserío de Sáncor Distrito de Chulucanas – Morropón 2017”</b:BookTitle>
    <b:RefOrder>78</b:RefOrder>
  </b:Source>
  <b:Source>
    <b:Tag>Pan18</b:Tag>
    <b:SourceType>BookSection</b:SourceType>
    <b:Guid>{47FD5962-2800-4F84-B7DB-30609AF2E72D}</b:Guid>
    <b:Year>2018</b:Year>
    <b:City>Tesis de titulación. Peru</b:City>
    <b:Publisher>Universidad Cesar Vallejo</b:Publisher>
    <b:Author>
      <b:Author>
        <b:NameList>
          <b:Person>
            <b:Last>Pantoja</b:Last>
            <b:First>A.</b:First>
          </b:Person>
        </b:NameList>
      </b:Author>
    </b:Author>
    <b:BookTitle>Exportaciones de las principales empresas peruanas exportadoras de quinua hacia los Estados Unidos</b:BookTitle>
    <b:JournalName>Tesis de titulación</b:JournalName>
    <b:RefOrder>79</b:RefOrder>
  </b:Source>
  <b:Source>
    <b:Tag>Ort17</b:Tag>
    <b:SourceType>BookSection</b:SourceType>
    <b:Guid>{99F3AB6E-2C01-41C8-A7AC-0D9FD9456A6C}</b:Guid>
    <b:Year>2017</b:Year>
    <b:City>Tesis de titulación. Peru</b:City>
    <b:Publisher>Universidad Norbert Wiener</b:Publisher>
    <b:Author>
      <b:Author>
        <b:NameList>
          <b:Person>
            <b:Last>Ortiz</b:Last>
            <b:First>M.</b:First>
          </b:Person>
        </b:NameList>
      </b:Author>
    </b:Author>
    <b:BookTitle>Oferta exportable de jugo de tumbo al mercado internacional para el desarrollo sostenible del Perú, 2017</b:BookTitle>
    <b:RefOrder>80</b:RefOrder>
  </b:Source>
  <b:Source>
    <b:Tag>MarcadorDePosición7</b:Tag>
    <b:SourceType>BookSection</b:SourceType>
    <b:Guid>{9FD3229B-9368-4F81-93FD-BC86FE7FEB86}</b:Guid>
    <b:Year>2017</b:Year>
    <b:City>Tesis de titulación. Peru</b:City>
    <b:Publisher>Universidad Norbert Wiener</b:Publisher>
    <b:Author>
      <b:Author>
        <b:NameList>
          <b:Person>
            <b:Last>Tarmeño</b:Last>
            <b:First>L.</b:First>
          </b:Person>
        </b:NameList>
      </b:Author>
    </b:Author>
    <b:BookTitle>Oferta exportable de pecana al mercado del país de China 2017.</b:BookTitle>
    <b:RefOrder>81</b:RefOrder>
  </b:Source>
  <b:Source>
    <b:Tag>Flo171</b:Tag>
    <b:SourceType>BookSection</b:SourceType>
    <b:Guid>{B4002341-E45B-444C-AB48-D4AD3910030A}</b:Guid>
    <b:Year>2017</b:Year>
    <b:City>Tesis de titulación. Ecuador</b:City>
    <b:Publisher>Universidad de Guayaquil</b:Publisher>
    <b:Author>
      <b:Author>
        <b:NameList>
          <b:Person>
            <b:Last>Flores</b:Last>
            <b:First>J.</b:First>
          </b:Person>
          <b:Person>
            <b:Last>Rodríguez</b:Last>
            <b:First>J.</b:First>
          </b:Person>
        </b:NameList>
      </b:Author>
    </b:Author>
    <b:BookTitle>Modelo de negocio para la producción y comercialización de conservas de guayaba en la provincia del guayas y su futura exportación al mercado de New York.</b:BookTitle>
    <b:RefOrder>82</b:RefOrder>
  </b:Source>
  <b:Source>
    <b:Tag>Aco18</b:Tag>
    <b:SourceType>BookSection</b:SourceType>
    <b:Guid>{D7A0B13E-3DF9-4B40-9BFB-A0341140889B}</b:Guid>
    <b:BookTitle>Modelo de negocio del jugo adelgazante a base de uvilla con stevia dirigido al mercado de Estados Unidos.</b:BookTitle>
    <b:Year>2018</b:Year>
    <b:City>Tesis de titulación. Ecuador</b:City>
    <b:Publisher>Universidad de Guayaquil</b:Publisher>
    <b:Author>
      <b:Author>
        <b:NameList>
          <b:Person>
            <b:Last>Acosta</b:Last>
            <b:First>D.</b:First>
          </b:Person>
          <b:Person>
            <b:Last>Cahuana</b:Last>
            <b:First>E.</b:First>
          </b:Person>
        </b:NameList>
      </b:Author>
    </b:Author>
    <b:RefOrder>83</b:RefOrder>
  </b:Source>
  <b:Source>
    <b:Tag>Fer17</b:Tag>
    <b:SourceType>BookSection</b:SourceType>
    <b:Guid>{6EFAD3D1-667C-4632-814F-7A70A2B11F5D}</b:Guid>
    <b:BookTitle>Análisis de la factibilidad para la creación de una empresa exportadora de concentrado de aloe vera al mercado de Estados Unidos.</b:BookTitle>
    <b:Year>2017</b:Year>
    <b:City>Tesis de titulación. Ecuador</b:City>
    <b:Publisher>Universidad de Guayaquil</b:Publisher>
    <b:Author>
      <b:Author>
        <b:NameList>
          <b:Person>
            <b:Last>Ferruzola</b:Last>
            <b:First>E.</b:First>
          </b:Person>
          <b:Person>
            <b:Last>Yáguar</b:Last>
            <b:First>E.</b:First>
          </b:Person>
        </b:NameList>
      </b:Author>
    </b:Author>
    <b:RefOrder>84</b:RefOrder>
  </b:Source>
  <b:Source>
    <b:Tag>Hil17</b:Tag>
    <b:SourceType>BookSection</b:SourceType>
    <b:Guid>{09470CE4-D11D-428A-A97B-7ED0DF518666}</b:Guid>
    <b:BookTitle>Diseño de un Plan Estratégico para Exportar Uvilla Ecuatoriana a la Unión Europea.</b:BookTitle>
    <b:Year>2017</b:Year>
    <b:City>Tesis de magister. Ecuador</b:City>
    <b:Publisher>Universidad de Guayaquil</b:Publisher>
    <b:Author>
      <b:Author>
        <b:NameList>
          <b:Person>
            <b:Last>Hilaca</b:Last>
            <b:First>D.</b:First>
          </b:Person>
        </b:NameList>
      </b:Author>
    </b:Author>
    <b:RefOrder>85</b:RefOrder>
  </b:Source>
  <b:Source>
    <b:Tag>Chi00</b:Tag>
    <b:SourceType>Book</b:SourceType>
    <b:Guid>{49F7F86D-EF31-418D-995C-371C970335DE}</b:Guid>
    <b:Title>Introducción a la teoría general de la adminsitración</b:Title>
    <b:Year>2000</b:Year>
    <b:City>Mexico DF</b:City>
    <b:Publisher>Mc Graw Hill</b:Publisher>
    <b:Author>
      <b:Author>
        <b:NameList>
          <b:Person>
            <b:Last>Chiavenato</b:Last>
            <b:First>I</b:First>
          </b:Person>
        </b:NameList>
      </b:Author>
    </b:Author>
    <b:RefOrder>86</b:RefOrder>
  </b:Source>
  <b:Source>
    <b:Tag>Pan05</b:Tag>
    <b:SourceType>Book</b:SourceType>
    <b:Guid>{A7EABD1E-63C6-4806-BB2B-63D3E9239498}</b:Guid>
    <b:Title>Principales escuela del pensamiento administrativo</b:Title>
    <b:Year>2005</b:Year>
    <b:City>Costa Rica</b:City>
    <b:Publisher>Euned</b:Publisher>
    <b:Author>
      <b:Author>
        <b:NameList>
          <b:Person>
            <b:Last>Paniagua</b:Last>
            <b:First>C</b:First>
          </b:Person>
        </b:NameList>
      </b:Author>
    </b:Author>
    <b:RefOrder>87</b:RefOrder>
  </b:Source>
  <b:Source>
    <b:Tag>Pon05</b:Tag>
    <b:SourceType>Book</b:SourceType>
    <b:Guid>{B07C4829-3A96-4C56-BF0C-61D2DA93607B}</b:Guid>
    <b:Title>Administración por objetivos</b:Title>
    <b:Year>2005</b:Year>
    <b:City>Mexico</b:City>
    <b:Publisher>Limusa</b:Publisher>
    <b:Author>
      <b:Author>
        <b:NameList>
          <b:Person>
            <b:Last>Ponce</b:Last>
            <b:First>R</b:First>
          </b:Person>
        </b:NameList>
      </b:Author>
    </b:Author>
    <b:RefOrder>88</b:RefOrder>
  </b:Source>
  <b:Source>
    <b:Tag>Cor02</b:Tag>
    <b:SourceType>Book</b:SourceType>
    <b:Guid>{8B150B84-8FE9-4C66-9C9A-5CA320D62DB7}</b:Guid>
    <b:Title>Comercio Internacional hacia una gestión competitiva</b:Title>
    <b:Year>2002</b:Year>
    <b:City>Lima</b:City>
    <b:Publisher>San Marcos</b:Publisher>
    <b:Author>
      <b:Author>
        <b:NameList>
          <b:Person>
            <b:Last>Cornejo </b:Last>
            <b:First>E</b:First>
          </b:Person>
        </b:NameList>
      </b:Author>
    </b:Author>
    <b:RefOrder>89</b:RefOrder>
  </b:Source>
  <b:Source>
    <b:Tag>Cha05</b:Tag>
    <b:SourceType>Book</b:SourceType>
    <b:Guid>{6DD2B7B4-FA31-4E25-A935-71C38BB5F29E}</b:Guid>
    <b:Title>Manual de Comercio Exterior</b:Title>
    <b:Year>2005</b:Year>
    <b:City>Barcelano</b:City>
    <b:Publisher>Gestión 200</b:Publisher>
    <b:Author>
      <b:Author>
        <b:NameList>
          <b:Person>
            <b:Last>Charbert</b:Last>
            <b:First>J</b:First>
          </b:Person>
        </b:NameList>
      </b:Author>
    </b:Author>
    <b:RefOrder>90</b:RefOrder>
  </b:Source>
  <b:Source>
    <b:Tag>Min15</b:Tag>
    <b:SourceType>DocumentFromInternetSite</b:SourceType>
    <b:Guid>{1C052461-9A42-4B58-A842-4B54F8E94207}</b:Guid>
    <b:Author>
      <b:Author>
        <b:Corporate>Ministerio de Agricultura y Riego</b:Corporate>
      </b:Author>
    </b:Author>
    <b:Title>MINAGRI</b:Title>
    <b:InternetSiteTitle>MINAGRI</b:InternetSiteTitle>
    <b:Year>2015</b:Year>
    <b:URL>http://minagri.gob.pe/portal/objetivos/181-exportaciones/que-podemos-exportar/532-definicion-de-oferta-exportable</b:URL>
    <b:RefOrder>91</b:RefOrder>
  </b:Source>
  <b:Source>
    <b:Tag>Min151</b:Tag>
    <b:SourceType>JournalArticle</b:SourceType>
    <b:Guid>{94FB046A-5013-471C-99E6-29EB80204CD1}</b:Guid>
    <b:Title>Plan estratégico nacional exportador</b:Title>
    <b:JournalName>PENX 2025</b:JournalName>
    <b:Year>2015</b:Year>
    <b:Pages>300</b:Pages>
    <b:Author>
      <b:Author>
        <b:Corporate>Ministerio de Comercio Exterior y Turismo</b:Corporate>
      </b:Author>
    </b:Author>
    <b:URL>https://www.mincetur.gob.pe/wp-content/uploads/documentos/comercio_exterior/plan_exportador/Penx_2025/PENX_FINAL_101215.pdf</b:URL>
    <b:RefOrder>92</b:RefOrder>
  </b:Source>
  <b:Source>
    <b:Tag>Min152</b:Tag>
    <b:SourceType>BookSection</b:SourceType>
    <b:Guid>{23771E18-BB3E-46A6-909B-1BBA607F996F}</b:Guid>
    <b:BookTitle>Plan estratégico nacional exportador: PENX 2025. MINCETUR.</b:BookTitle>
    <b:Year>2015</b:Year>
    <b:Publisher>Ministerio de Comercio Exterior y Turismo, 2015</b:Publisher>
    <b:Author>
      <b:Author>
        <b:NameList>
          <b:Person>
            <b:Last>Ministerio de Comercio Exterior y Turismo,</b:Last>
          </b:Person>
        </b:NameList>
      </b:Author>
    </b:Author>
    <b:RefOrder>93</b:RefOrder>
  </b:Source>
  <b:Source>
    <b:Tag>Min14</b:Tag>
    <b:SourceType>BookSection</b:SourceType>
    <b:Guid>{DD367E4C-4DE1-4B18-B39B-E5A9B76F319E}</b:Guid>
    <b:Year>2014</b:Year>
    <b:Author>
      <b:Author>
        <b:NameList>
          <b:Person>
            <b:Last>Ministerio de Comercio Exterior y Turismo,</b:Last>
          </b:Person>
        </b:NameList>
      </b:Author>
    </b:Author>
    <b:City>Peru</b:City>
    <b:Publisher>Biblioteca Nacional del Perú N° 2014-10207</b:Publisher>
    <b:BookTitle>Comercio exterior – texto educativo 3era edición.</b:BookTitle>
    <b:RefOrder>94</b:RefOrder>
  </b:Source>
  <b:Source>
    <b:Tag>Min051</b:Tag>
    <b:SourceType>BookSection</b:SourceType>
    <b:Guid>{15DE7BF4-781E-45F5-9DC6-AD4B5ADAAE88}</b:Guid>
    <b:BookTitle>Plan estratégico nacional del exportador. PENX 2003-2013.</b:BookTitle>
    <b:Year>2005</b:Year>
    <b:City>Peru</b:City>
    <b:Publisher>MINCETUR</b:Publisher>
    <b:Author>
      <b:Author>
        <b:NameList>
          <b:Person>
            <b:Last>Ministerio de Comercio Exterior y Turismo</b:Last>
          </b:Person>
        </b:NameList>
      </b:Author>
    </b:Author>
    <b:URL>https://www.mincetur.gob.pe/wpcontent/uploads/documentos/comercio_exterior/plan_exportador/Penx_2003_2013/2Planes_Sectoriales_POS/Sector_Servicios.pdf (Ministerio de Comercio Exterior y Turismo, 2005</b:URL>
    <b:RefOrder>95</b:RefOrder>
  </b:Source>
  <b:Source>
    <b:Tag>SII20</b:Tag>
    <b:SourceType>InternetSite</b:SourceType>
    <b:Guid>{7C7E223F-E99B-47B6-B3FB-3F49782FEED4}</b:Guid>
    <b:Title>RUTAS MARITIMAS</b:Title>
    <b:Year>2020</b:Year>
    <b:Author>
      <b:Author>
        <b:Corporate>SIICEX</b:Corporate>
      </b:Author>
    </b:Author>
    <b:Month>ENERO</b:Month>
    <b:Day>27</b:Day>
    <b:YearAccessed>2020</b:YearAccessed>
    <b:URL>http://rutasmaritimas.promperu.gob.pe/itinerario?prutamaestra=null,2,17</b:URL>
    <b:RefOrder>96</b:RefOrder>
  </b:Source>
  <b:Source>
    <b:Tag>Ler10</b:Tag>
    <b:SourceType>Book</b:SourceType>
    <b:Guid>{50A67680-BDA7-4A8A-92CB-3C48A68C49AD}</b:Guid>
    <b:Title>Comercio y Marketing Internacional</b:Title>
    <b:Year>2010</b:Year>
    <b:City>Mexico</b:City>
    <b:Publisher>CENGAGE Learning</b:Publisher>
    <b:Author>
      <b:Author>
        <b:NameList>
          <b:Person>
            <b:Last>Lerna</b:Last>
            <b:First>A</b:First>
          </b:Person>
          <b:Person>
            <b:Last>Márquez</b:Last>
            <b:First>E</b:First>
          </b:Person>
        </b:NameList>
      </b:Author>
    </b:Author>
    <b:RefOrder>97</b:RefOrder>
  </b:Source>
  <b:Source>
    <b:Tag>Min10</b:Tag>
    <b:SourceType>Report</b:SourceType>
    <b:Guid>{61B932B6-4A7D-46A3-99BB-F7549E7AEE9C}</b:Guid>
    <b:Author>
      <b:Author>
        <b:Corporate>Ministerio de Comercio Exterior y Turismo</b:Corporate>
      </b:Author>
    </b:Author>
    <b:Title>Guía de Requisitos Sanitarios y Fitosanitarios para exportar alimentos a los Estados Unidos</b:Title>
    <b:Year>2010</b:Year>
    <b:Publisher>MINCETUR</b:Publisher>
    <b:City>Lima</b:City>
    <b:RefOrder>98</b:RefOrder>
  </b:Source>
  <b:Source>
    <b:Tag>SUN16</b:Tag>
    <b:SourceType>InternetSite</b:SourceType>
    <b:Guid>{92D122E3-7EE9-4259-A6A7-4480674B4A1B}</b:Guid>
    <b:Author>
      <b:Author>
        <b:Corporate>SUNAT</b:Corporate>
      </b:Author>
    </b:Author>
    <b:Title>SUNAT.GOB.PE</b:Title>
    <b:InternetSiteTitle>SUNAT.GOB.PE</b:InternetSiteTitle>
    <b:Year>2016</b:Year>
    <b:URL>http://www.sunat.gob.pe/orientacionaduanera/nomenclaturaarancelaria/index.html</b:URL>
    <b:RefOrder>99</b:RefOrder>
  </b:Source>
  <b:Source>
    <b:Tag>Sis08</b:Tag>
    <b:SourceType>BookSection</b:SourceType>
    <b:Guid>{749595A4-91E2-484E-8B3C-ABA3B6304745}</b:Guid>
    <b:Title>Sistema Integrado de Información de Comercio Exterior</b:Title>
    <b:BookTitle>Documentos para Exportar</b:BookTitle>
    <b:Year>2008</b:Year>
    <b:City>Lima</b:City>
    <b:Publisher>SIICEX</b:Publisher>
    <b:URL>http://www.siicex.gob.pe/siicex/portal5ES.asp?_page_=827.82600</b:URL>
    <b:RefOrder>100</b:RefOrder>
  </b:Source>
  <b:Source>
    <b:Tag>PRO10</b:Tag>
    <b:SourceType>BookSection</b:SourceType>
    <b:Guid>{E698572B-1F7C-4AA1-925D-31921DD1B95F}</b:Guid>
    <b:BookTitle>Plan de Negocios Internacional de Exportación</b:BookTitle>
    <b:Year>2010</b:Year>
    <b:City>Mexico</b:City>
    <b:Publisher>Universidad Intercontinental</b:Publisher>
    <b:Author>
      <b:Author>
        <b:NameList>
          <b:Person>
            <b:Last>PROMEXICO</b:Last>
          </b:Person>
        </b:NameList>
      </b:Author>
    </b:Author>
    <b:RefOrder>101</b:RefOrder>
  </b:Source>
  <b:Source>
    <b:Tag>SUN161</b:Tag>
    <b:SourceType>BookSection</b:SourceType>
    <b:Guid>{36A3FE3B-B9D7-4B62-BC37-749210A87077}</b:Guid>
    <b:BookTitle>Orientación Aduanera de Exportación – Requisitos</b:BookTitle>
    <b:Year>2016</b:Year>
    <b:City>Lima</b:City>
    <b:Publisher>ADUANAS</b:Publisher>
    <b:Author>
      <b:Author>
        <b:NameList>
          <b:Person>
            <b:Last>SUNAT</b:Last>
          </b:Person>
        </b:NameList>
      </b:Author>
    </b:Author>
    <b:URL>http://www.sunat.gob.pe/orientacionaduanera/exportacion/requisitosEx.html</b:URL>
    <b:RefOrder>102</b:RefOrder>
  </b:Source>
  <b:Source>
    <b:Tag>Pro16</b:Tag>
    <b:SourceType>BookSection</b:SourceType>
    <b:Guid>{C753FB36-B052-49D6-942D-C751D64AE0CC}</b:Guid>
    <b:BookTitle>Manual de Documentos de Exportación</b:BookTitle>
    <b:Year>2016</b:Year>
    <b:City>Lima</b:City>
    <b:Publisher>Promperu</b:Publisher>
    <b:Author>
      <b:Author>
        <b:NameList>
          <b:Person>
            <b:Last>Promperu</b:Last>
          </b:Person>
        </b:NameList>
      </b:Author>
    </b:Author>
    <b:RefOrder>103</b:RefOrder>
  </b:Source>
  <b:Source>
    <b:Tag>Lam11</b:Tag>
    <b:SourceType>BookSection</b:SourceType>
    <b:Guid>{54DA2CDE-BF76-46F0-8419-CD02A5036984}</b:Guid>
    <b:BookTitle>Marketing 11e</b:BookTitle>
    <b:Year>2011</b:Year>
    <b:City>Mexico</b:City>
    <b:Publisher>Cengage Learning</b:Publisher>
    <b:Author>
      <b:Author>
        <b:NameList>
          <b:Person>
            <b:Last>Lamb</b:Last>
            <b:First>C.</b:First>
          </b:Person>
          <b:Person>
            <b:Last>Hair</b:Last>
            <b:First>Jr.</b:First>
          </b:Person>
          <b:Person>
            <b:Last>McDaniel</b:Last>
            <b:First>C.</b:First>
          </b:Person>
        </b:NameList>
      </b:Author>
    </b:Author>
    <b:RefOrder>104</b:RefOrder>
  </b:Source>
  <b:Source>
    <b:Tag>Sai13</b:Tag>
    <b:SourceType>BookSection</b:SourceType>
    <b:Guid>{5C112AC7-08C7-4F21-90D9-E3D550BD3B16}</b:Guid>
    <b:BookTitle>El plan de marketing en la práctica 18ª</b:BookTitle>
    <b:Year>2013</b:Year>
    <b:City>Madrid</b:City>
    <b:Publisher>ESIC EDITORIAL</b:Publisher>
    <b:Author>
      <b:Author>
        <b:NameList>
          <b:Person>
            <b:Last>Sainz</b:Last>
            <b:First>J.</b:First>
          </b:Person>
        </b:NameList>
      </b:Author>
    </b:Author>
    <b:RefOrder>105</b:RefOrder>
  </b:Source>
  <b:Source>
    <b:Tag>Min142</b:Tag>
    <b:SourceType>BookSection</b:SourceType>
    <b:Guid>{503FD61F-E559-4970-9E57-827D1866C565}</b:Guid>
    <b:BookTitle>Comercio exterior – texto educativo 3era edición</b:BookTitle>
    <b:Year>2014</b:Year>
    <b:City>Peru</b:City>
    <b:Publisher>Biblioteca Nacional del Perú N° 2014-10207</b:Publisher>
    <b:Author>
      <b:Author>
        <b:NameList>
          <b:Person>
            <b:Last>Ministerio de Comercio Exterior y Turismo</b:Last>
          </b:Person>
        </b:NameList>
      </b:Author>
    </b:Author>
    <b:RefOrder>106</b:RefOrder>
  </b:Source>
  <b:Source>
    <b:Tag>Bes07</b:Tag>
    <b:SourceType>BookSection</b:SourceType>
    <b:Guid>{5E50382C-70C1-42C5-9C94-B00797E8383C}</b:Guid>
    <b:BookTitle>Marketing estratégico 4.a edición</b:BookTitle>
    <b:Year>2007</b:Year>
    <b:City>Madrid</b:City>
    <b:Publisher>Pearson Educación</b:Publisher>
    <b:Author>
      <b:Author>
        <b:NameList>
          <b:Person>
            <b:Last>Best</b:Last>
            <b:First>R.</b:First>
          </b:Person>
        </b:NameList>
      </b:Author>
    </b:Author>
    <b:RefOrder>107</b:RefOrder>
  </b:Source>
  <b:Source>
    <b:Tag>Tel02</b:Tag>
    <b:SourceType>BookSection</b:SourceType>
    <b:Guid>{ED154588-D593-4437-BE92-5AD31B345EA0}</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108</b:RefOrder>
  </b:Source>
  <b:Source>
    <b:Tag>Tel021</b:Tag>
    <b:SourceType>BookSection</b:SourceType>
    <b:Guid>{F4744EF2-D22C-4236-9E98-75C32EB755B7}</b:Guid>
    <b:BookTitle>Estrategias de publicidad y promoción</b:BookTitle>
    <b:Year>2002</b:Year>
    <b:City>Madrid</b:City>
    <b:Publisher>Pearson Eduación.</b:Publisher>
    <b:Author>
      <b:Author>
        <b:NameList>
          <b:Person>
            <b:Last>Tellis</b:Last>
            <b:First>G.</b:First>
          </b:Person>
          <b:Person>
            <b:Last>Redondo</b:Last>
            <b:First>I.</b:First>
          </b:Person>
        </b:NameList>
      </b:Author>
    </b:Author>
    <b:RefOrder>109</b:RefOrder>
  </b:Source>
  <b:Source>
    <b:Tag>Ful18</b:Tag>
    <b:SourceType>BookSection</b:SourceType>
    <b:Guid>{341BEDCD-7439-4260-902E-484F18A847E6}</b:Guid>
    <b:BookTitle>Negociación Internacional</b:BookTitle>
    <b:Year>2018</b:Year>
    <b:City>Madrid</b:City>
    <b:Publisher>Paraninfo</b:Publisher>
    <b:Author>
      <b:Author>
        <b:NameList>
          <b:Person>
            <b:Last>Fulgencio</b:Last>
            <b:First>J.</b:First>
          </b:Person>
        </b:NameList>
      </b:Author>
    </b:Author>
    <b:RefOrder>110</b:RefOrder>
  </b:Source>
  <b:Source>
    <b:Tag>Bes071</b:Tag>
    <b:SourceType>BookSection</b:SourceType>
    <b:Guid>{5E8A0F69-0AFE-4F29-AB7B-750E8961D556}</b:Guid>
    <b:BookTitle>Marketing estratégico 4.a edición</b:BookTitle>
    <b:Year>2007</b:Year>
    <b:City>Madrid</b:City>
    <b:Publisher>Pearson Educación</b:Publisher>
    <b:Author>
      <b:Author>
        <b:NameList>
          <b:Person>
            <b:Last>Best</b:Last>
            <b:First>R.</b:First>
          </b:Person>
        </b:NameList>
      </b:Author>
    </b:Author>
    <b:RefOrder>111</b:RefOrder>
  </b:Source>
  <b:Source>
    <b:Tag>Ker09</b:Tag>
    <b:SourceType>Book</b:SourceType>
    <b:Guid>{02896D22-23EB-4D9C-918F-1E0A501BA18C}</b:Guid>
    <b:Title>Marketing 9th Edition</b:Title>
    <b:Year>2009</b:Year>
    <b:City>USA</b:City>
    <b:Publisher>McGraw Hill</b:Publisher>
    <b:Author>
      <b:Author>
        <b:NameList>
          <b:Person>
            <b:Last>Kerin</b:Last>
            <b:First>R</b:First>
          </b:Person>
          <b:Person>
            <b:Last>Hartley</b:Last>
            <b:First>S</b:First>
          </b:Person>
          <b:Person>
            <b:Last>Rudelius</b:Last>
            <b:First>W</b:First>
          </b:Person>
        </b:NameList>
      </b:Author>
    </b:Author>
    <b:DOI>9780077303303</b:DOI>
    <b:RefOrder>112</b:RefOrder>
  </b:Source>
  <b:Source>
    <b:Tag>Gui98</b:Tag>
    <b:SourceType>Book</b:SourceType>
    <b:Guid>{86138821-04FC-4F9E-B621-52592BB86C77}</b:Guid>
    <b:Title>Guía para implantar la Norma ISO 9000: para empresas de todos tipos y tamaños</b:Title>
    <b:Year>1998</b:Year>
    <b:City>México D.F</b:City>
    <b:Publisher>McGraw-Hill</b:Publisher>
    <b:Author>
      <b:Author>
        <b:NameList>
          <b:Person>
            <b:Last>Guevara</b:Last>
            <b:First>Guillermo</b:First>
            <b:Middle>Tabla</b:Middle>
          </b:Person>
        </b:NameList>
      </b:Author>
    </b:Author>
    <b:RefOrder>113</b:RefOrder>
  </b:Source>
  <b:Source>
    <b:Tag>Her14</b:Tag>
    <b:SourceType>BookSection</b:SourceType>
    <b:Guid>{1E603D56-499D-47F1-9898-02BE6C6B55C0}</b:Guid>
    <b:BookTitle>Metodología de la Investigación (Sexta ed.)</b:BookTitle>
    <b:Year>2014</b:Year>
    <b:City>Ciudad de México, México</b:City>
    <b:Publisher>McGraw-Hill/Interamericana Editores. S.A. DE C.V. ISBN 13: 9781456223960</b:Publisher>
    <b:Author>
      <b:Author>
        <b:NameList>
          <b:Person>
            <b:Last>Hernández</b:Last>
            <b:First>R.</b:First>
          </b:Person>
          <b:Person>
            <b:Last>Fernández</b:Last>
            <b:First>C.</b:First>
          </b:Person>
          <b:Person>
            <b:Last>Baptista</b:Last>
            <b:First>P.</b:First>
          </b:Person>
        </b:NameList>
      </b:Author>
    </b:Author>
    <b:RefOrder>114</b:RefOrder>
  </b:Source>
  <b:Source>
    <b:Tag>Hur10</b:Tag>
    <b:SourceType>BookSection</b:SourceType>
    <b:Guid>{61AE004E-B910-4C9A-ACFF-443D536CE728}</b:Guid>
    <b:BookTitle>Metodología de la Investigación Holística</b:BookTitle>
    <b:Year>2010</b:Year>
    <b:City>Caracas, Venezuela</b:City>
    <b:Publisher>Fundación Sypal. ISBN: 9806306066</b:Publisher>
    <b:Author>
      <b:Author>
        <b:NameList>
          <b:Person>
            <b:Last>Hurtado</b:Last>
            <b:First>J.</b:First>
          </b:Person>
        </b:NameList>
      </b:Author>
    </b:Author>
    <b:RefOrder>115</b:RefOrder>
  </b:Source>
  <b:Source>
    <b:Tag>Ber103</b:Tag>
    <b:SourceType>BookSection</b:SourceType>
    <b:Guid>{90FC8CB7-AF93-4059-9661-0DC92B0AC1F3}</b:Guid>
    <b:BookTitle>Metodología de la investigación: administración economía, humanidades y ciencias sociales.</b:BookTitle>
    <b:Year>2010</b:Year>
    <b:City>Tercera edición. Colombia</b:City>
    <b:Publisher>Pearson Educación</b:Publisher>
    <b:Author>
      <b:Author>
        <b:NameList>
          <b:Person>
            <b:Last>Bernal</b:Last>
            <b:First>C.</b:First>
          </b:Person>
        </b:NameList>
      </b:Author>
    </b:Author>
    <b:RefOrder>116</b:RefOrder>
  </b:Source>
  <b:Source>
    <b:Tag>Foo</b:Tag>
    <b:SourceType>InternetSite</b:SourceType>
    <b:Guid>{4F440201-A1E1-4099-A27C-A42E4B6F6AFB}</b:Guid>
    <b:Author>
      <b:Author>
        <b:Corporate>Food and Agriculture Organization of the United Nations</b:Corporate>
      </b:Author>
    </b:Author>
    <b:Title>FAO.ORG</b:Title>
    <b:InternetSiteTitle>FAO.ORG</b:InternetSiteTitle>
    <b:Year>2013</b:Year>
    <b:URL>https://www.caroube.net/es/articulo/61-produccion-mundial-algarrobas</b:URL>
    <b:RefOrder>117</b:RefOrder>
  </b:Source>
  <b:Source>
    <b:Tag>UNE20</b:Tag>
    <b:SourceType>InternetSite</b:SourceType>
    <b:Guid>{8552439A-38E9-4028-A81F-5E473A0F8565}</b:Guid>
    <b:Title>La Organización de las Naciones Unidas para la Educación, la Ciencia y la Cultura</b:Title>
    <b:Year>2020</b:Year>
    <b:Author>
      <b:Author>
        <b:NameList>
          <b:Person>
            <b:Last>UNESCO</b:Last>
          </b:Person>
        </b:NameList>
      </b:Author>
    </b:Author>
    <b:InternetSiteTitle>La Organización de las Naciones Unidas para la Educación, la Ciencia y la Cultura</b:InternetSiteTitle>
    <b:Month>10</b:Month>
    <b:Day>30</b:Day>
    <b:URL>https://es.unesco.org/</b:URL>
    <b:RefOrder>118</b:RefOrder>
  </b:Source>
  <b:Source>
    <b:Tag>Qui20</b:Tag>
    <b:SourceType>JournalArticle</b:SourceType>
    <b:Guid>{2AB02FA7-E525-44F3-8EA0-291DE9AE87DF}</b:Guid>
    <b:Author>
      <b:Author>
        <b:NameList>
          <b:Person>
            <b:Last>Quintero</b:Last>
            <b:First>L</b:First>
          </b:Person>
        </b:NameList>
      </b:Author>
    </b:Author>
    <b:Title>Rol y pertinencia en universidades del Ecuador en la actividad de vinculación con la sociedad</b:Title>
    <b:JournalName>Maestro y Sociedad</b:JournalName>
    <b:Year>2020</b:Year>
    <b:Pages>437 - 457</b:Pages>
    <b:Volume>17</b:Volume>
    <b:Issue>3</b:Issue>
    <b:RefOrder>119</b:RefOrder>
  </b:Source>
  <b:Source>
    <b:Tag>Alf04</b:Tag>
    <b:SourceType>JournalArticle</b:SourceType>
    <b:Guid>{9E2A1E9B-0E14-492B-8188-1631118EA458}</b:Guid>
    <b:Author>
      <b:Author>
        <b:NameList>
          <b:Person>
            <b:Last>Alfarez</b:Last>
            <b:First>A</b:First>
          </b:Person>
        </b:NameList>
      </b:Author>
    </b:Author>
    <b:Title>Bibliometric study on food science and technology: Scientific production in Iberian-American countries (1991-2000</b:Title>
    <b:JournalName>Scientometrics</b:JournalName>
    <b:Year>2004</b:Year>
    <b:Pages>56 - 62</b:Pages>
    <b:Volume>61</b:Volume>
    <b:Issue>1</b:Issue>
    <b:RefOrder>120</b:RefOrder>
  </b:Source>
  <b:Source>
    <b:Tag>Góm05</b:Tag>
    <b:SourceType>JournalArticle</b:SourceType>
    <b:Guid>{B3D656D7-9728-4B30-8999-B933F3D50F55}</b:Guid>
    <b:Title>Indicadores bibliométricos: origen, aplicación, contradicción y nuevas propuestas</b:Title>
    <b:JournalName>MedUNAB</b:JournalName>
    <b:Year>2005</b:Year>
    <b:Pages>29 - 36</b:Pages>
    <b:Author>
      <b:Author>
        <b:NameList>
          <b:Person>
            <b:Last>Gómez</b:Last>
            <b:First>C</b:First>
          </b:Person>
        </b:NameList>
      </b:Author>
    </b:Author>
    <b:Volume>8</b:Volume>
    <b:Issue>1</b:Issue>
    <b:RefOrder>121</b:RefOrder>
  </b:Source>
  <b:Source>
    <b:Tag>Paz20</b:Tag>
    <b:SourceType>JournalArticle</b:SourceType>
    <b:Guid>{A5016836-93D9-4BF6-9224-5A3A0E5AF58E}</b:Guid>
    <b:Author>
      <b:Author>
        <b:NameList>
          <b:Person>
            <b:Last>Paz</b:Last>
            <b:First>M</b:First>
          </b:Person>
          <b:Person>
            <b:Last>Avecillas</b:Last>
            <b:First>E</b:First>
          </b:Person>
        </b:NameList>
      </b:Author>
    </b:Author>
    <b:Title>Análisis bibliométrico de la interacción profesor-alumno a través de las plataformas virtuales</b:Title>
    <b:JournalName>Espíritu Emprendedor TES</b:JournalName>
    <b:Year>2020</b:Year>
    <b:Pages>42 - 65</b:Pages>
    <b:Volume>4</b:Volume>
    <b:Issue>4</b:Issue>
    <b:RefOrder>122</b:RefOrder>
  </b:Source>
  <b:Source>
    <b:Tag>Jim</b:Tag>
    <b:SourceType>Report</b:SourceType>
    <b:Guid>{B7C6E18E-4802-4EDF-BF92-AF0FFB5DD48E}</b:Guid>
    <b:Author>
      <b:Author>
        <b:NameList>
          <b:Person>
            <b:Last>Jiménez</b:Last>
            <b:First>C</b:First>
          </b:Person>
        </b:NameList>
      </b:Author>
    </b:Author>
    <b:Title>Bases para un concepto de las “metríasBases para un concepto de las “metrías</b:Title>
    <b:Year>2005</b:Year>
    <b:Publisher>Universidad de Granada</b:Publisher>
    <b:City>España</b:City>
    <b:URL>http://www.ugr.es/~rruizb/cognosfera/sala_de_estudio/bibliometria/las_metrias.DOC</b:URL>
    <b:RefOrder>123</b:RefOrder>
  </b:Source>
  <b:Source>
    <b:Tag>Wea00</b:Tag>
    <b:SourceType>JournalArticle</b:SourceType>
    <b:Guid>{D6F71974-1530-4B43-802F-3A54CE84E392}</b:Guid>
    <b:Author>
      <b:Author>
        <b:NameList>
          <b:Person>
            <b:Last>Weale</b:Last>
            <b:First>A</b:First>
          </b:Person>
        </b:NameList>
      </b:Author>
    </b:Author>
    <b:Title>The level of non-citation of articles within a journal as a measure of quality: a comparison to the impact factor</b:Title>
    <b:JournalName>BMC Med Res Methodol</b:JournalName>
    <b:Year>2000</b:Year>
    <b:Pages>35 - 45</b:Pages>
    <b:Volume>4</b:Volume>
    <b:Issue>14</b:Issue>
    <b:RefOrder>124</b:RefOrder>
  </b:Source>
  <b:Source>
    <b:Tag>Met20</b:Tag>
    <b:SourceType>JournalArticle</b:SourceType>
    <b:Guid>{C2A3E129-B6FD-408E-B460-8AD2AE08045B}</b:Guid>
    <b:Title>La tecnología 5G, una mirada desde la calidad asistencial</b:Title>
    <b:Year>2020</b:Year>
    <b:Author>
      <b:Author>
        <b:NameList>
          <b:Person>
            <b:Last>Metro</b:Last>
            <b:First>S</b:First>
          </b:Person>
        </b:NameList>
      </b:Author>
    </b:Author>
    <b:JournalName>Journal of Healthcare Quality Research</b:JournalName>
    <b:Pages>269 - 271</b:Pages>
    <b:Volume>35</b:Volume>
    <b:Issue>5</b:Issue>
    <b:RefOrder>125</b:RefOrder>
  </b:Source>
  <b:Source>
    <b:Tag>Ner07</b:Tag>
    <b:SourceType>Book</b:SourceType>
    <b:Guid>{89BC656F-C1C3-4178-8FE8-86AA9DE43773}</b:Guid>
    <b:Title>Introducao a Biblioteconomia</b:Title>
    <b:Year>2007</b:Year>
    <b:Publisher>Briquet de Lemos</b:Publisher>
    <b:City>Río de Janeiro</b:City>
    <b:Author>
      <b:Author>
        <b:NameList>
          <b:Person>
            <b:Last>Nery</b:Last>
            <b:First>F</b:First>
          </b:Person>
        </b:NameList>
      </b:Author>
    </b:Author>
    <b:Volume>2</b:Volume>
    <b:RefOrder>126</b:RefOrder>
  </b:Source>
  <b:Source>
    <b:Tag>Ote04</b:Tag>
    <b:SourceType>JournalArticle</b:SourceType>
    <b:Guid>{A44EC49E-408D-4179-A433-5855BB1C2F7C}</b:Guid>
    <b:Author>
      <b:Author>
        <b:NameList>
          <b:Person>
            <b:Last>Otero</b:Last>
            <b:First>P</b:First>
          </b:Person>
        </b:NameList>
      </b:Author>
    </b:Author>
    <b:Title>Evolution of medical informatics in bibliographic</b:Title>
    <b:JournalName>Medinfo</b:JournalName>
    <b:Year>2004</b:Year>
    <b:Pages>301 - 305</b:Pages>
    <b:Volume>11</b:Volume>
    <b:Issue>1</b:Issue>
    <b:RefOrder>127</b:RefOrder>
  </b:Source>
  <b:Source>
    <b:Tag>Bal16</b:Tag>
    <b:SourceType>Book</b:SourceType>
    <b:Guid>{68648CA3-7D89-4994-9795-9153EEC415F1}</b:Guid>
    <b:Author>
      <b:Author>
        <b:NameList>
          <b:Person>
            <b:Last>Balzarini</b:Last>
            <b:First>M</b:First>
          </b:Person>
          <b:Person>
            <b:Last>Bruno</b:Last>
            <b:First>L</b:First>
          </b:Person>
          <b:Person>
            <b:Last>Walter</b:Last>
            <b:First>C</b:First>
          </b:Person>
        </b:NameList>
      </b:Author>
    </b:Author>
    <b:Title>Estadística y Biometría</b:Title>
    <b:Year>2016</b:Year>
    <b:City>Buenos Aires</b:City>
    <b:Publisher>Brujas</b:Publisher>
    <b:Volume>2</b:Volume>
    <b:RefOrder>128</b:RefOrder>
  </b:Source>
  <b:Source>
    <b:Tag>Ávi18</b:Tag>
    <b:SourceType>Book</b:SourceType>
    <b:Guid>{CB8D09D0-DB02-49E0-A7D4-6DCEB0760DCD}</b:Guid>
    <b:Title>Cienciometría y bibliometría. El estudio de la producción científica Métodos, enfoques y aplicaciones en el estudio de las Ciencias Sociales</b:Title>
    <b:Year>2018</b:Year>
    <b:Author>
      <b:Author>
        <b:NameList>
          <b:Person>
            <b:Last>Ávila</b:Last>
            <b:First>T</b:First>
          </b:Person>
        </b:NameList>
      </b:Author>
    </b:Author>
    <b:City>Colombia</b:City>
    <b:Publisher>Corporación Universitaria Reformada</b:Publisher>
    <b:RefOrder>129</b:RefOrder>
  </b:Source>
  <b:Source>
    <b:Tag>Gón16</b:Tag>
    <b:SourceType>Book</b:SourceType>
    <b:Guid>{DF13435D-855C-4B9B-A697-064A8A875BD5}</b:Guid>
    <b:Author>
      <b:Author>
        <b:NameList>
          <b:Person>
            <b:Last>Gónzalez</b:Last>
            <b:First>G</b:First>
          </b:Person>
        </b:NameList>
      </b:Author>
    </b:Author>
    <b:Title>Bibliometría</b:Title>
    <b:Year>2016</b:Year>
    <b:City>Valencia</b:City>
    <b:Publisher>Nau Libres</b:Publisher>
    <b:RefOrder>130</b:RefOrder>
  </b:Source>
  <b:Source>
    <b:Tag>Raa03</b:Tag>
    <b:SourceType>JournalArticle</b:SourceType>
    <b:Guid>{606BA1F0-4E69-4426-B31F-FE40CF5FC8E8}</b:Guid>
    <b:Title>The use of bibliometric analysis in research performance assessment and monitoring developments</b:Title>
    <b:Year>2003</b:Year>
    <b:Author>
      <b:Author>
        <b:NameList>
          <b:Person>
            <b:Last>Raan</b:Last>
            <b:First>A</b:First>
          </b:Person>
        </b:NameList>
      </b:Author>
    </b:Author>
    <b:JournalName>Technikfolgenabschätzung</b:JournalName>
    <b:Pages>20 -29</b:Pages>
    <b:Volume>1</b:Volume>
    <b:Issue>12</b:Issue>
    <b:RefOrder>131</b:RefOrder>
  </b:Source>
  <b:Source>
    <b:Tag>His05</b:Tag>
    <b:SourceType>JournalArticle</b:SourceType>
    <b:Guid>{F900EF03-6A1B-45AD-B9BE-5BE41F6C9B0F}</b:Guid>
    <b:Author>
      <b:Author>
        <b:NameList>
          <b:Person>
            <b:Last>Hisrch</b:Last>
            <b:First>J</b:First>
          </b:Person>
        </b:NameList>
      </b:Author>
    </b:Author>
    <b:Title>An index to quantify an individual's scientific research output</b:Title>
    <b:JournalName>Proceedings of the National Academy of Sciences of the United States of America</b:JournalName>
    <b:Year>2005</b:Year>
    <b:Pages>16569 - 15572.</b:Pages>
    <b:Volume>102</b:Volume>
    <b:Issue>46</b:Issue>
    <b:RefOrder>132</b:RefOrder>
  </b:Source>
  <b:Source>
    <b:Tag>Are15</b:Tag>
    <b:SourceType>JournalArticle</b:SourceType>
    <b:Guid>{E5A54A11-6025-4C01-A386-09E7F939BB4A}</b:Guid>
    <b:Author>
      <b:Author>
        <b:NameList>
          <b:Person>
            <b:Last>Arenas</b:Last>
            <b:First>X</b:First>
          </b:Person>
        </b:NameList>
      </b:Author>
    </b:Author>
    <b:Title>Indicadores de la</b:Title>
    <b:JournalName>Ciencias de la Información</b:JournalName>
    <b:Year>2015</b:Year>
    <b:Pages>2 - 6</b:Pages>
    <b:Volume>24</b:Volume>
    <b:Issue>1</b:Issue>
    <b:RefOrder>133</b:RefOrder>
  </b:Source>
  <b:Source>
    <b:Tag>Ara02</b:Tag>
    <b:SourceType>JournalArticle</b:SourceType>
    <b:Guid>{5F26D6F0-195F-40CB-9EB8-DAF6F6750000}</b:Guid>
    <b:Author>
      <b:Author>
        <b:NameList>
          <b:Person>
            <b:Last>Araújo</b:Last>
            <b:First>A</b:First>
          </b:Person>
        </b:NameList>
      </b:Author>
    </b:Author>
    <b:Title>Informetría, bibliometría y cienciometría : aspectos</b:Title>
    <b:JournalName>ACIMED</b:JournalName>
    <b:Year>2002</b:Year>
    <b:Pages>46 - 50</b:Pages>
    <b:Volume>10</b:Volume>
    <b:Issue>4</b:Issue>
    <b:RefOrder>134</b:RefOrder>
  </b:Source>
  <b:Source>
    <b:Tag>Van03</b:Tag>
    <b:SourceType>JournalArticle</b:SourceType>
    <b:Guid>{75ED17AB-668F-467C-B62F-B6EBDDA7A0C8}</b:Guid>
    <b:Author>
      <b:Author>
        <b:NameList>
          <b:Person>
            <b:Last>Van-Rann</b:Last>
            <b:First>A</b:First>
          </b:Person>
        </b:NameList>
      </b:Author>
    </b:Author>
    <b:Title>The use of bibliometric analysis in research performance assessment and monitoring of interdisciplinary</b:Title>
    <b:JournalName>Technology Assessment - Theory and Practice</b:JournalName>
    <b:Year>2003</b:Year>
    <b:Pages>20 -29</b:Pages>
    <b:Volume>1</b:Volume>
    <b:Issue>12</b:Issue>
    <b:RefOrder>135</b:RefOrder>
  </b:Source>
  <b:Source>
    <b:Tag>Zbi01</b:Tag>
    <b:SourceType>JournalArticle</b:SourceType>
    <b:Guid>{F25FB7BF-A6DC-4A0F-88FF-A8477D6EC936}</b:Guid>
    <b:Title>Karl Heinrich Frömmichen (1736-1783) and Adrian Balbi (1782-1848) - The Pioneers of Biblio- and Scientometrics</b:Title>
    <b:Year>2001</b:Year>
    <b:Author>
      <b:Author>
        <b:NameList>
          <b:Person>
            <b:Last>Zbikowska</b:Last>
            <b:First>M</b:First>
          </b:Person>
        </b:NameList>
      </b:Author>
    </b:Author>
    <b:JournalName>Scientometrics</b:JournalName>
    <b:Pages>225-233</b:Pages>
    <b:Volume>52</b:Volume>
    <b:Issue>2</b:Issue>
    <b:DOI>10.1023 / A: 1017963706595</b:DOI>
    <b:RefOrder>136</b:RefOrder>
  </b:Source>
  <b:Source>
    <b:Tag>Dáv09</b:Tag>
    <b:SourceType>JournalArticle</b:SourceType>
    <b:Guid>{F03B072E-7E81-4533-B5B4-79599E911C93}</b:Guid>
    <b:Title>Bibliometría: conceptos y utilidades para el</b:Title>
    <b:Year>2009</b:Year>
    <b:Author>
      <b:Author>
        <b:NameList>
          <b:Person>
            <b:Last>Dávila</b:Last>
            <b:First>M</b:First>
          </b:Person>
          <b:Person>
            <b:Last>Macareno</b:Last>
            <b:First>H</b:First>
          </b:Person>
          <b:Person>
            <b:Last>Barranco</b:Last>
            <b:First>R</b:First>
          </b:Person>
        </b:NameList>
      </b:Author>
    </b:Author>
    <b:JournalName>Saluduninorte</b:JournalName>
    <b:Pages>319 - 330</b:Pages>
    <b:Volume>25</b:Volume>
    <b:Issue>2</b:Issue>
    <b:RefOrder>137</b:RefOrder>
  </b:Source>
  <b:Source>
    <b:Tag>Alm03</b:Tag>
    <b:SourceType>JournalArticle</b:SourceType>
    <b:Guid>{47C53585-DFA0-44BF-9B10-4E29EDF42635}</b:Guid>
    <b:Author>
      <b:Author>
        <b:NameList>
          <b:Person>
            <b:Last>Almeida</b:Last>
            <b:First>F</b:First>
          </b:Person>
        </b:NameList>
      </b:Author>
    </b:Author>
    <b:Title>Research on health inequalities in Latin America and the Caribbean: bibliometric analysis (1971-2000) and descriptive content analysis (1971-1995)</b:Title>
    <b:JournalName>American Journal of Public Health, Washington</b:JournalName>
    <b:Year>2003</b:Year>
    <b:Pages>234 - 255</b:Pages>
    <b:Volume>93</b:Volume>
    <b:Issue>12</b:Issue>
    <b:RefOrder>138</b:RefOrder>
  </b:Source>
  <b:Source>
    <b:Tag>Bjo02</b:Tag>
    <b:SourceType>JournalArticle</b:SourceType>
    <b:Guid>{E8A6CB0D-06FA-4D9D-91CE-E57F1F2D00B7}</b:Guid>
    <b:Author>
      <b:Author>
        <b:NameList>
          <b:Person>
            <b:Last>Bjorneborn</b:Last>
            <b:First>L</b:First>
          </b:Person>
        </b:NameList>
      </b:Author>
    </b:Author>
    <b:Title>Perspective of webometrics</b:Title>
    <b:JournalName>Scientometrics</b:JournalName>
    <b:Year>2002</b:Year>
    <b:Pages>24 - 35</b:Pages>
    <b:Volume>52</b:Volume>
    <b:Issue>3</b:Issue>
    <b:RefOrder>139</b:RefOrder>
  </b:Source>
  <b:Source>
    <b:Tag>Wag05</b:Tag>
    <b:SourceType>JournalArticle</b:SourceType>
    <b:Guid>{C2D86FD8-2E34-4E20-A5D6-E22D5D5859AE}</b:Guid>
    <b:Author>
      <b:Author>
        <b:NameList>
          <b:Person>
            <b:Last>Wagner</b:Last>
            <b:First>C</b:First>
          </b:Person>
        </b:NameList>
      </b:Author>
    </b:Author>
    <b:Title>Network structure, self-organization, and the growth of international collaboration in science</b:Title>
    <b:JournalName>Research Policy</b:JournalName>
    <b:Year>2005</b:Year>
    <b:Pages>45 - 55</b:Pages>
    <b:Volume>34</b:Volume>
    <b:Issue>10</b:Issue>
    <b:RefOrder>140</b:RefOrder>
  </b:Source>
  <b:Source>
    <b:Tag>Smi08</b:Tag>
    <b:SourceType>JournalArticle</b:SourceType>
    <b:Guid>{EC2EBC15-657D-4530-B508-7D0599180613}</b:Guid>
    <b:Author>
      <b:Author>
        <b:NameList>
          <b:Person>
            <b:Last>Smith</b:Last>
            <b:First>D</b:First>
          </b:Person>
        </b:NameList>
      </b:Author>
    </b:Author>
    <b:Title>Bibliometrics, citation indexing, and the journal of nursing</b:Title>
    <b:JournalName>Nursing and Health Sciences</b:JournalName>
    <b:Year>2008</b:Year>
    <b:Pages>260 - 265</b:Pages>
    <b:Volume>10</b:Volume>
    <b:RefOrder>141</b:RefOrder>
  </b:Source>
  <b:Source>
    <b:Tag>Ard12</b:Tag>
    <b:SourceType>Book</b:SourceType>
    <b:Guid>{03F60117-AEC6-46D7-9553-32E4B2A10482}</b:Guid>
    <b:Author>
      <b:Author>
        <b:NameList>
          <b:Person>
            <b:Last>Ardanuy</b:Last>
            <b:First>J</b:First>
          </b:Person>
        </b:NameList>
      </b:Author>
    </b:Author>
    <b:Title>Breve introducción a la Bibliometría</b:Title>
    <b:Year>2012</b:Year>
    <b:City>Barcelona</b:City>
    <b:Publisher>Universitat de Barcelona</b:Publisher>
    <b:RefOrder>142</b:RefOrder>
  </b:Source>
  <b:Source>
    <b:Tag>Pér03</b:Tag>
    <b:SourceType>Report</b:SourceType>
    <b:Guid>{2AF0511E-B3A3-4175-816E-85A3C9DAB144}</b:Guid>
    <b:Title>Análisis bibliométrico en Educación</b:Title>
    <b:Year>2003</b:Year>
    <b:City>España</b:City>
    <b:Publisher>Ministerio de Educación y Ciencia de España</b:Publisher>
    <b:Pages>45 - 50</b:Pages>
    <b:Author>
      <b:Author>
        <b:NameList>
          <b:Person>
            <b:Last>Pérez</b:Last>
            <b:First>G</b:First>
          </b:Person>
          <b:Person>
            <b:Last>Anta</b:Last>
            <b:First>C</b:First>
          </b:Person>
          <b:Person>
            <b:Last>Badera</b:Last>
            <b:First>S</b:First>
          </b:Person>
        </b:NameList>
      </b:Author>
    </b:Author>
    <b:JournalName>Incidencia en la calidad universitaria</b:JournalName>
    <b:RefOrder>143</b:RefOrder>
  </b:Source>
  <b:Source>
    <b:Tag>Gon97</b:Tag>
    <b:SourceType>JournalArticle</b:SourceType>
    <b:Guid>{B63DDB33-EE1F-457F-82A0-F4361A89479F}</b:Guid>
    <b:Title>Teoría de la ciencia, documentación y bibliometría</b:Title>
    <b:Year>1997</b:Year>
    <b:Author>
      <b:Author>
        <b:NameList>
          <b:Person>
            <b:Last>González</b:Last>
            <b:First>L</b:First>
          </b:Person>
        </b:NameList>
      </b:Author>
    </b:Author>
    <b:JournalName>RcWstn General de tnforrnación y Docunientación</b:JournalName>
    <b:Pages>45 - 55</b:Pages>
    <b:Volume>7</b:Volume>
    <b:Issue>2</b:Issue>
    <b:RefOrder>144</b:RefOrder>
  </b:Source>
  <b:Source>
    <b:Tag>Cal95</b:Tag>
    <b:SourceType>Book</b:SourceType>
    <b:Guid>{885AA414-0D9C-46FB-A2D0-0A18602A09EE}</b:Guid>
    <b:Author>
      <b:Author>
        <b:NameList>
          <b:Person>
            <b:Last>Callon</b:Last>
            <b:First>M</b:First>
          </b:Person>
        </b:NameList>
      </b:Author>
    </b:Author>
    <b:Title>Cienciometría: El estudio cuantitativo de la actividad científica: de la bibliometría a la vigilancia tecnológica</b:Title>
    <b:Year>1995</b:Year>
    <b:City>Madrid</b:City>
    <b:RefOrder>145</b:RefOrder>
  </b:Source>
  <b:Source>
    <b:Tag>Tur17</b:Tag>
    <b:SourceType>Book</b:SourceType>
    <b:Guid>{C71E93C4-707A-46FC-A817-C08F4EE32DDC}</b:Guid>
    <b:Author>
      <b:Author>
        <b:NameList>
          <b:Person>
            <b:Last>Turbanti</b:Last>
            <b:First>S</b:First>
          </b:Person>
        </b:NameList>
      </b:Author>
    </b:Author>
    <b:Title>Bibliometria e scienze del libro: internazionalizzazione e vitalità degli studi italiani</b:Title>
    <b:Year>2017</b:Year>
    <b:RefOrder>146</b:RefOrder>
  </b:Source>
  <b:Source>
    <b:Tag>MarcadorDePosición8</b:Tag>
    <b:SourceType>Book</b:SourceType>
    <b:Guid>{32222096-EAB0-48CC-9388-50E133EDEB42}</b:Guid>
    <b:Author>
      <b:Author>
        <b:NameList>
          <b:Person>
            <b:Last>López</b:Last>
            <b:First>J</b:First>
          </b:Person>
          <b:Person>
            <b:Last>Torres</b:Last>
            <b:First>C</b:First>
          </b:Person>
          <b:Person>
            <b:Last>Ávila</b:Last>
            <b:First>F</b:First>
          </b:Person>
        </b:NameList>
      </b:Author>
    </b:Author>
    <b:Title>Bibliometría E Infometría</b:Title>
    <b:Year>2011</b:Year>
    <b:City>Cartagena</b:City>
    <b:Publisher>UniCartagena</b:Publisher>
    <b:RefOrder>147</b:RefOrder>
  </b:Source>
  <b:Source>
    <b:Tag>Laf10</b:Tag>
    <b:SourceType>Book</b:SourceType>
    <b:Guid>{76E56AD9-4DAD-4328-87F1-DFE1C6876B99}</b:Guid>
    <b:Author>
      <b:Author>
        <b:NameList>
          <b:Person>
            <b:Last>Lafouge</b:Last>
            <b:First>T</b:First>
          </b:Person>
          <b:Person>
            <b:Last>Francois</b:Last>
            <b:First>Y</b:First>
          </b:Person>
          <b:Person>
            <b:Last>Coadic</b:Last>
            <b:First>L</b:First>
          </b:Person>
        </b:NameList>
      </b:Author>
    </b:Author>
    <b:Title>Elementos de estadística y de matemática de la información : infometría, bibliometría, mediametría, cienciometría, museometría, webmetría</b:Title>
    <b:Year>2010</b:Year>
    <b:City>Cataluña</b:City>
    <b:Publisher>Universitat Oberta de Catalunya</b:Publisher>
    <b:RefOrder>148</b:RefOrder>
  </b:Source>
  <b:Source>
    <b:Tag>OBI20</b:Tag>
    <b:SourceType>DocumentFromInternetSite</b:SourceType>
    <b:Guid>{AC6E10F5-9678-49EC-AB3A-3D53D0561979}</b:Guid>
    <b:Title>Observatorio de Bibliometría e Información Científica</b:Title>
    <b:Year>2020</b:Year>
    <b:Author>
      <b:Author>
        <b:NameList>
          <b:Person>
            <b:Last>OBIC</b:Last>
          </b:Person>
        </b:NameList>
      </b:Author>
    </b:Author>
    <b:InternetSiteTitle>Observatorio de Bibliometría e Información Científica</b:InternetSiteTitle>
    <b:Month>11</b:Month>
    <b:Day>04</b:Day>
    <b:URL>https://obic.usal.es/bibliometria</b:URL>
    <b:RefOrder>149</b:RefOrder>
  </b:Source>
  <b:Source>
    <b:Tag>Hoo01</b:Tag>
    <b:SourceType>JournalArticle</b:SourceType>
    <b:Guid>{207C40B2-5DF5-4FB9-8AD3-DAC38A1CABDB}</b:Guid>
    <b:Title>The literature of bibliometrics, scientometrics, and informetrics</b:Title>
    <b:Year>2001</b:Year>
    <b:Author>
      <b:Author>
        <b:NameList>
          <b:Person>
            <b:Last>Hood</b:Last>
            <b:First>W</b:First>
          </b:Person>
        </b:NameList>
      </b:Author>
    </b:Author>
    <b:JournalName>Scientometrics</b:JournalName>
    <b:Pages>291 - 314</b:Pages>
    <b:Volume>52</b:Volume>
    <b:Issue>2</b:Issue>
    <b:RefOrder>150</b:RefOrder>
  </b:Source>
  <b:Source>
    <b:Tag>Syl99</b:Tag>
    <b:SourceType>DocumentFromInternetSite</b:SourceType>
    <b:Guid>{2C0351DF-8880-439C-BBB9-994E4A9ABA5D}</b:Guid>
    <b:Title>Bibliometric Indicators and the Social Sciences</b:Title>
    <b:Year>1999</b:Year>
    <b:Author>
      <b:Author>
        <b:NameList>
          <b:Person>
            <b:Last>Sylvan</b:Last>
            <b:First>K</b:First>
          </b:Person>
        </b:NameList>
      </b:Author>
    </b:Author>
    <b:InternetSiteTitle>Bibliometric Indicators and the Social Sciences</b:InternetSiteTitle>
    <b:Month>11</b:Month>
    <b:Day>26</b:Day>
    <b:URL>http://www.sussex.ac.uk/Users/sylvank/</b:URL>
    <b:RefOrder>151</b:RefOrder>
  </b:Source>
  <b:Source>
    <b:Tag>San90</b:Tag>
    <b:SourceType>JournalArticle</b:SourceType>
    <b:Guid>{FB63B116-65C6-4C8A-AE07-A8A13CFC57F6}</b:Guid>
    <b:Author>
      <b:Author>
        <b:NameList>
          <b:Person>
            <b:Last>Sancho</b:Last>
            <b:First>R</b:First>
          </b:Person>
        </b:NameList>
      </b:Author>
    </b:Author>
    <b:Title>Indicadores bibliométricos utilizados en la evolución de la ciencia y la tecnología</b:Title>
    <b:JournalName>Revista Española de Documentación Científica</b:JournalName>
    <b:Year>1990</b:Year>
    <b:Pages>842 - 865</b:Pages>
    <b:Volume>3</b:Volume>
    <b:Issue>4</b:Issue>
    <b:RefOrder>152</b:RefOrder>
  </b:Source>
  <b:Source>
    <b:Tag>Peñ96</b:Tag>
    <b:SourceType>Book</b:SourceType>
    <b:Guid>{9E8196AB-4CCF-4D6D-98AD-5E148F56EAB0}</b:Guid>
    <b:Title>Técnicas de documentación científica. Teoría y práctica</b:Title>
    <b:Year>1996</b:Year>
    <b:Author>
      <b:Author>
        <b:NameList>
          <b:Person>
            <b:Last>Peña</b:Last>
            <b:First>S</b:First>
          </b:Person>
        </b:NameList>
      </b:Author>
    </b:Author>
    <b:City>Valencia</b:City>
    <b:Publisher>Promolibro</b:Publisher>
    <b:RefOrder>153</b:RefOrder>
  </b:Source>
  <b:Source>
    <b:Tag>Ben07</b:Tag>
    <b:SourceType>JournalArticle</b:SourceType>
    <b:Guid>{1FAAB2C7-7FEB-48F2-8C0D-FD27C847A28E}</b:Guid>
    <b:Title>El factor de impacto de las revistas científicas: limitaciones e indicadores alternativos</b:Title>
    <b:Year>2007</b:Year>
    <b:Author>
      <b:Author>
        <b:NameList>
          <b:Person>
            <b:Last>Benavent</b:Last>
            <b:First>A</b:First>
          </b:Person>
          <b:Person>
            <b:Last>Valderrama</b:Last>
            <b:First>Z</b:First>
          </b:Person>
        </b:NameList>
      </b:Author>
    </b:Author>
    <b:JournalName>El profesional de la información</b:JournalName>
    <b:Pages>4 - 11</b:Pages>
    <b:Volume>16</b:Volume>
    <b:Issue>1</b:Issue>
    <b:RefOrder>154</b:RefOrder>
  </b:Source>
  <b:Source>
    <b:Tag>Arw09</b:Tag>
    <b:SourceType>JournalArticle</b:SourceType>
    <b:Guid>{6114D4D8-DC35-42C6-89A1-6651A2E1FEB0}</b:Guid>
    <b:Title>Nuevos indicadores de rendimiento científico institucional basados en análisis de citas: los índices H sucesivos</b:Title>
    <b:Year>2009</b:Year>
    <b:Author>
      <b:Author>
        <b:NameList>
          <b:Person>
            <b:Last>Arencibia</b:Last>
            <b:First>J</b:First>
          </b:Person>
        </b:NameList>
      </b:Author>
    </b:Author>
    <b:JournalName>Revista española de Dopcumentación Científica</b:JournalName>
    <b:Pages>101 - 106</b:Pages>
    <b:Volume>32</b:Volume>
    <b:Issue>3</b:Issue>
    <b:RefOrder>155</b:RefOrder>
  </b:Source>
  <b:Source>
    <b:Tag>Cam10</b:Tag>
    <b:SourceType>JournalArticle</b:SourceType>
    <b:Guid>{390AB34B-669D-4613-8D95-63F77ABBFDC6}</b:Guid>
    <b:Author>
      <b:Author>
        <b:NameList>
          <b:Person>
            <b:Last>Campanario</b:Last>
            <b:First>J</b:First>
          </b:Person>
        </b:NameList>
      </b:Author>
    </b:Author>
    <b:Title>La influencia de las autocitas en el aumento del factor de impacto en revistas de Ciencias Sociales</b:Title>
    <b:JournalName>Revista Española de Documentación Científica</b:JournalName>
    <b:Year>2010</b:Year>
    <b:Pages>185 - 200</b:Pages>
    <b:Volume>33</b:Volume>
    <b:Issue>2</b:Issue>
    <b:RefOrder>156</b:RefOrder>
  </b:Source>
  <b:Source>
    <b:Tag>Gar95</b:Tag>
    <b:SourceType>JournalArticle</b:SourceType>
    <b:Guid>{7694FB72-4B65-4CC5-BBAD-2594979B2F6C}</b:Guid>
    <b:Author>
      <b:Author>
        <b:NameList>
          <b:Person>
            <b:Last>Garfield</b:Last>
            <b:First>E</b:First>
          </b:Person>
        </b:NameList>
      </b:Author>
    </b:Author>
    <b:Title>Citation indexes to science: a new dimension in documentation through the association of ideas</b:Title>
    <b:JournalName>Science </b:JournalName>
    <b:Year>1995</b:Year>
    <b:Pages>108 - 111</b:Pages>
    <b:RefOrder>157</b:RefOrder>
  </b:Source>
  <b:Source>
    <b:Tag>Mat16</b:Tag>
    <b:SourceType>JournalArticle</b:SourceType>
    <b:Guid>{38F2F197-AE0A-4E55-8034-DA7ED21D6400}</b:Guid>
    <b:Author>
      <b:Author>
        <b:NameList>
          <b:Person>
            <b:Last>Matos</b:Last>
            <b:First>M</b:First>
          </b:Person>
          <b:Person>
            <b:Last>Morales</b:Last>
            <b:First>I</b:First>
          </b:Person>
          <b:Person>
            <b:Last>Torres</b:Last>
            <b:First>I</b:First>
          </b:Person>
        </b:NameList>
      </b:Author>
    </b:Author>
    <b:Title>La administración de las entidades de información en la difusión de las publicaciones científicas</b:Title>
    <b:JournalName>Publicando</b:JournalName>
    <b:Year>2016</b:Year>
    <b:Pages>187-196</b:Pages>
    <b:Volume>3</b:Volume>
    <b:Issue>4</b:Issue>
    <b:RefOrder>158</b:RefOrder>
  </b:Source>
  <b:Source>
    <b:Tag>Spi10</b:Tag>
    <b:SourceType>JournalArticle</b:SourceType>
    <b:Guid>{7CE16141-AC5B-4621-B1FF-11926F354758}</b:Guid>
    <b:Author>
      <b:Author>
        <b:NameList>
          <b:Person>
            <b:Last>Spinak</b:Last>
            <b:First>E</b:First>
          </b:Person>
        </b:NameList>
      </b:Author>
    </b:Author>
    <b:Title>Indicadores cienciometricos</b:Title>
    <b:JournalName>Ciencia da Informacao</b:JournalName>
    <b:Year>2010</b:Year>
    <b:Pages>141 -148</b:Pages>
    <b:Volume>27</b:Volume>
    <b:Issue>2</b:Issue>
    <b:RefOrder>159</b:RefOrder>
  </b:Source>
  <b:Source>
    <b:Tag>Mor00</b:Tag>
    <b:SourceType>JournalArticle</b:SourceType>
    <b:Guid>{40BE18E2-5E6F-4BD9-9446-ABB44FFEEC69}</b:Guid>
    <b:Author>
      <b:Author>
        <b:NameList>
          <b:Person>
            <b:Last>Morales</b:Last>
            <b:First>M</b:First>
          </b:Person>
        </b:NameList>
      </b:Author>
    </b:Author>
    <b:Title>Glosario de</b:Title>
    <b:JournalName>La Habana</b:JournalName>
    <b:Year>2000</b:Year>
    <b:Pages>45 - 50</b:Pages>
    <b:Volume>20</b:Volume>
    <b:Issue>6</b:Issue>
    <b:RefOrder>160</b:RefOrder>
  </b:Source>
  <b:Source>
    <b:Tag>Lem05</b:Tag>
    <b:SourceType>JournalArticle</b:SourceType>
    <b:Guid>{3B3D0FF2-E8D7-4795-AEA4-A6291452D5DC}</b:Guid>
    <b:Author>
      <b:Author>
        <b:NameList>
          <b:Person>
            <b:Last>Lema</b:Last>
            <b:First>J</b:First>
          </b:Person>
        </b:NameList>
      </b:Author>
    </b:Author>
    <b:Title>Diccionario enciclopédico de</b:Title>
    <b:JournalName>UNESCO</b:JournalName>
    <b:Year>2005</b:Year>
    <b:Pages>30 - 35</b:Pages>
    <b:RefOrder>161</b:RefOrder>
  </b:Source>
  <b:Source>
    <b:Tag>Cal10</b:Tag>
    <b:SourceType>JournalArticle</b:SourceType>
    <b:Guid>{462A76BA-38EB-4EF8-BD99-99B5560A6BFA}</b:Guid>
    <b:Title>Estudios bibliométrico de la producción científica en la Ciencias Agropecuarias de Cuba, México y Brasil a través del Science Citation Index durante el período 2005-2008</b:Title>
    <b:JournalName>La Habana</b:JournalName>
    <b:Year>2010</b:Year>
    <b:Pages>40 - 46</b:Pages>
    <b:Author>
      <b:Author>
        <b:NameList>
          <b:Person>
            <b:Last>Calderón</b:Last>
            <b:First>Y</b:First>
          </b:Person>
        </b:NameList>
      </b:Author>
    </b:Author>
    <b:RefOrder>162</b:RefOrder>
  </b:Source>
  <b:Source>
    <b:Tag>Pri01</b:Tag>
    <b:SourceType>JournalArticle</b:SourceType>
    <b:Guid>{6CB6E40D-B360-4621-89EE-878869A05E88}</b:Guid>
    <b:Author>
      <b:Author>
        <b:NameList>
          <b:Person>
            <b:Last>Pritchard</b:Last>
            <b:First>R</b:First>
          </b:Person>
        </b:NameList>
      </b:Author>
    </b:Author>
    <b:Title>"Statistical bibliography or bibliometrics</b:Title>
    <b:JournalName>Journal of Documentation</b:JournalName>
    <b:Year>2001</b:Year>
    <b:Pages>349 - 355</b:Pages>
    <b:Volume>25</b:Volume>
    <b:Issue>4</b:Issue>
    <b:RefOrder>163</b:RefOrder>
  </b:Source>
  <b:Source>
    <b:Tag>Gar13</b:Tag>
    <b:SourceType>JournalArticle</b:SourceType>
    <b:Guid>{ECF36A69-2DA9-4BF4-B14E-6511DE07F0E0}</b:Guid>
    <b:Author>
      <b:Author>
        <b:NameList>
          <b:Person>
            <b:Last>García</b:Last>
            <b:First>A</b:First>
          </b:Person>
        </b:NameList>
      </b:Author>
    </b:Author>
    <b:Title>Las redes de colaboración científica y su efecto en la productividad. Un análisis bibliométrico</b:Title>
    <b:JournalName>Bibliotecología</b:JournalName>
    <b:Year>2013</b:Year>
    <b:Pages>45 - 50</b:Pages>
    <b:Volume>27</b:Volume>
    <b:Issue>59</b:Issue>
    <b:RefOrder>164</b:RefOrder>
  </b:Source>
  <b:Source>
    <b:Tag>Abb10</b:Tag>
    <b:SourceType>JournalArticle</b:SourceType>
    <b:Guid>{E7AE45A3-A87C-4672-B135-90568705C17A}</b:Guid>
    <b:Author>
      <b:Author>
        <b:NameList>
          <b:Person>
            <b:Last>Abbasi</b:Last>
            <b:First>A</b:First>
          </b:Person>
        </b:NameList>
      </b:Author>
    </b:Author>
    <b:Title> Social Network System for Analyzing Publication Activities of Researchers</b:Title>
    <b:JournalName>South-Korea, Seoul National University</b:JournalName>
    <b:Year>2010</b:Year>
    <b:Pages>67 - 71</b:Pages>
    <b:RefOrder>165</b:RefOrder>
  </b:Source>
  <b:Source>
    <b:Tag>Aza04</b:Tag>
    <b:SourceType>Report</b:SourceType>
    <b:Guid>{AD620BD1-917A-4A74-A13A-3E2AC1CA3CE2}</b:Guid>
    <b:Author>
      <b:Author>
        <b:NameList>
          <b:Person>
            <b:Last>Azagra</b:Last>
            <b:First>C</b:First>
          </b:Person>
        </b:NameList>
      </b:Author>
    </b:Author>
    <b:Title>La contribución de las universidades a la innovación: efectos del fomento de la interacción universidad-empresa y las patentes universitarias</b:Title>
    <b:Year>2004</b:Year>
    <b:Publisher>Departamento de Análisis Económico, Valencia, Universidad de Valencia</b:Publisher>
    <b:City>Valencia</b:City>
    <b:RefOrder>166</b:RefOrder>
  </b:Source>
  <b:Source>
    <b:Tag>Ber07</b:Tag>
    <b:SourceType>Report</b:SourceType>
    <b:Guid>{3923CE72-1FE9-448C-A0CE-8B154F735610}</b:Guid>
    <b:Author>
      <b:Author>
        <b:NameList>
          <b:Person>
            <b:Last>Bermeo</b:Last>
            <b:First>A</b:First>
          </b:Person>
        </b:NameList>
      </b:Author>
    </b:Author>
    <b:Title>Rendimiento y colaboración científica en la investigación académica. Estudio del caso de los grupos de investigación de la Universidad Politécnica de Valencia</b:Title>
    <b:Year>2007</b:Year>
    <b:Publisher>Departamento de Proyectos de Ingeniería, Valencia, Universidad Politécnica de Valencia</b:Publisher>
    <b:City>Valencia</b:City>
    <b:RefOrder>167</b:RefOrder>
  </b:Source>
  <b:Source>
    <b:Tag>Car04</b:Tag>
    <b:SourceType>JournalArticle</b:SourceType>
    <b:Guid>{41244528-4E4D-49E5-A643-63F96C292F0D}</b:Guid>
    <b:Title>Does research organization influence academic production? Laboratory level evidence from a large European university</b:Title>
    <b:Year>2004</b:Year>
    <b:Author>
      <b:Author>
        <b:NameList>
          <b:Person>
            <b:Last>Carayol</b:Last>
            <b:First>N</b:First>
          </b:Person>
        </b:NameList>
      </b:Author>
    </b:Author>
    <b:JournalName>Research Policy</b:JournalName>
    <b:Pages>1081 - 1102</b:Pages>
    <b:Volume>33</b:Volume>
    <b:RefOrder>168</b:RefOrder>
  </b:Source>
  <b:Source>
    <b:Tag>Cro08</b:Tag>
    <b:SourceType>JournalArticle</b:SourceType>
    <b:Guid>{344942A9-4937-4022-96A1-4600D77A87B0}</b:Guid>
    <b:Author>
      <b:Author>
        <b:NameList>
          <b:Person>
            <b:Last>Cross</b:Last>
            <b:First>R</b:First>
          </b:Person>
        </b:NameList>
      </b:Author>
    </b:Author>
    <b:Title>Managing collaboration: Improving team effectiveness through a network perspective</b:Title>
    <b:JournalName>California Management Review</b:JournalName>
    <b:Year>2008</b:Year>
    <b:Pages>70 - 75</b:Pages>
    <b:Volume>50</b:Volume>
    <b:Issue>4</b:Issue>
    <b:RefOrder>169</b:RefOrder>
  </b:Source>
  <b:Source>
    <b:Tag>CSI08</b:Tag>
    <b:SourceType>Report</b:SourceType>
    <b:Guid>{2F341456-8F2B-4904-B05F-78DEFB2661AD}</b:Guid>
    <b:Title>Impacto de la producción científica de la Comunidad Valenciana, Comunidad Valenciana</b:Title>
    <b:Year>2008</b:Year>
    <b:Author>
      <b:Author>
        <b:NameList>
          <b:Person>
            <b:Last>CSIC</b:Last>
          </b:Person>
        </b:NameList>
      </b:Author>
    </b:Author>
    <b:Publisher>Consejo Superior de Investigaciones Científicas</b:Publisher>
    <b:City>Valencia</b:City>
    <b:RefOrder>170</b:RefOrder>
  </b:Source>
  <b:Source>
    <b:Tag>Gae08</b:Tag>
    <b:SourceType>JournalArticle</b:SourceType>
    <b:Guid>{D1BF3CEE-0ACD-41E1-A7E6-3ABA241BCDBF}</b:Guid>
    <b:Author>
      <b:Author>
        <b:NameList>
          <b:Person>
            <b:Last>Gaete</b:Last>
            <b:First>J</b:First>
          </b:Person>
        </b:NameList>
      </b:Author>
    </b:Author>
    <b:Title>Conocimiento y estructura en la investigación académica: una aproximación desde el análisis de redes sociales</b:Title>
    <b:JournalName>Revista hispana para el análisis de redes sociales</b:JournalName>
    <b:Year>2008</b:Year>
    <b:Pages>78 - 83</b:Pages>
    <b:Volume>14</b:Volume>
    <b:Issue>5</b:Issue>
    <b:RefOrder>171</b:RefOrder>
  </b:Source>
  <b:Source>
    <b:Tag>Hou06</b:Tag>
    <b:SourceType>JournalArticle</b:SourceType>
    <b:Guid>{F1850471-EBAF-498D-BB25-6946E6982C9D}</b:Guid>
    <b:Author>
      <b:Author>
        <b:NameList>
          <b:Person>
            <b:Last>Hou</b:Last>
            <b:First>H</b:First>
          </b:Person>
        </b:NameList>
      </b:Author>
    </b:Author>
    <b:Title>The structure of scientific collaboration networks in Scientometrics</b:Title>
    <b:JournalName>Scientometrics</b:JournalName>
    <b:Year>2006</b:Year>
    <b:Pages>189 - 202</b:Pages>
    <b:Volume>75</b:Volume>
    <b:Issue>2</b:Issue>
    <b:RefOrder>172</b:RefOrder>
  </b:Source>
  <b:Source>
    <b:Tag>Low04</b:Tag>
    <b:SourceType>JournalArticle</b:SourceType>
    <b:Guid>{A3DF5B9F-A1E6-47F5-8C25-6D9A48212089}</b:Guid>
    <b:Author>
      <b:Author>
        <b:NameList>
          <b:Person>
            <b:Last>Lowrie</b:Last>
            <b:First>A</b:First>
          </b:Person>
        </b:NameList>
      </b:Author>
    </b:Author>
    <b:Title>Academic research networks: A key to enhancing scholarly standing</b:Title>
    <b:JournalName>European Management Journal</b:JournalName>
    <b:Year>2004</b:Year>
    <b:Pages>345 - 360</b:Pages>
    <b:Volume>22</b:Volume>
    <b:Issue>4</b:Issue>
    <b:RefOrder>173</b:RefOrder>
  </b:Source>
  <b:Source>
    <b:Tag>Rou00</b:Tag>
    <b:SourceType>JournalArticle</b:SourceType>
    <b:Guid>{C9B75E16-A333-4278-88E4-E6E7874571C0}</b:Guid>
    <b:Author>
      <b:Author>
        <b:NameList>
          <b:Person>
            <b:Last>Rousseau</b:Last>
            <b:First>R</b:First>
          </b:Person>
        </b:NameList>
      </b:Author>
    </b:Author>
    <b:Title>Indicadores bibliométricos y econométricos en la evaluación de instituciones científicas</b:Title>
    <b:JournalName>Ci. Inf. Brasília</b:JournalName>
    <b:Year>2000</b:Year>
    <b:Pages>149 - 158</b:Pages>
    <b:Volume>27</b:Volume>
    <b:Issue>2</b:Issue>
    <b:RefOrder>174</b:RefOrder>
  </b:Source>
  <b:Source>
    <b:Tag>Are08</b:Tag>
    <b:SourceType>JournalArticle</b:SourceType>
    <b:Guid>{25C37933-7031-4B88-A445-EC4C20AF9542}</b:Guid>
    <b:Title>Applying successive H indices in the institutional evaluation: a case study</b:Title>
    <b:Year>2008</b:Year>
    <b:Author>
      <b:Author>
        <b:NameList>
          <b:Person>
            <b:Last>Arencibia</b:Last>
            <b:First>R</b:First>
          </b:Person>
          <b:Person>
            <b:Last>Barros</b:Last>
            <b:First>I</b:First>
          </b:Person>
        </b:NameList>
      </b:Author>
    </b:Author>
    <b:JournalName>Journal of the American Society for Information Science and Technology</b:JournalName>
    <b:Pages>155 - 157</b:Pages>
    <b:Volume>59</b:Volume>
    <b:RefOrder>175</b:RefOrder>
  </b:Source>
  <b:Source>
    <b:Tag>Cam08</b:Tag>
    <b:SourceType>JournalArticle</b:SourceType>
    <b:Guid>{1E66B93E-3F1F-43DF-B217-C759B1558D6F}</b:Guid>
    <b:Author>
      <b:Author>
        <b:NameList>
          <b:Person>
            <b:Last>Camps</b:Last>
            <b:First>D</b:First>
          </b:Person>
        </b:NameList>
      </b:Author>
    </b:Author>
    <b:Title>Limitaciones de los indicadores bibliométricos en la evaluación de la actividad científica</b:Title>
    <b:JournalName>Colombia Médica</b:JournalName>
    <b:Year>2008</b:Year>
    <b:Pages>74 - 79</b:Pages>
    <b:Volume>39</b:Volume>
    <b:RefOrder>176</b:RefOrder>
  </b:Source>
  <b:Source>
    <b:Tag>Sci07</b:Tag>
    <b:SourceType>JournalArticle</b:SourceType>
    <b:Guid>{1BBB7385-1889-42B5-8F2E-A00F455FFAD9}</b:Guid>
    <b:Author>
      <b:Author>
        <b:NameList>
          <b:Person>
            <b:Last>Scimago</b:Last>
          </b:Person>
        </b:NameList>
      </b:Author>
    </b:Author>
    <b:Title>El índice h de Hirsch: su aplicación a algunos de los científicos españoles más destacados</b:Title>
    <b:JournalName>El profesional de la información</b:JournalName>
    <b:Year>2007</b:Year>
    <b:Pages>47 - 49</b:Pages>
    <b:Volume>16</b:Volume>
    <b:RefOrder>177</b:RefOrder>
  </b:Source>
  <b:Source>
    <b:Tag>Las06</b:Tag>
    <b:SourceType>JournalArticle</b:SourceType>
    <b:Guid>{C6FE24B8-6642-407D-922A-5D5ED7339649}</b:Guid>
    <b:Author>
      <b:Author>
        <b:NameList>
          <b:Person>
            <b:Last>Lascurain</b:Last>
            <b:First>M</b:First>
          </b:Person>
        </b:NameList>
      </b:Author>
    </b:Author>
    <b:Title>La evaluación de la actividad científica mediante indicadores bibliométricos</b:Title>
    <b:JournalName>Boletín Bibliotecas</b:JournalName>
    <b:Year>2006</b:Year>
    <b:Pages>1 - 12</b:Pages>
    <b:Volume>24</b:Volume>
    <b:RefOrder>178</b:RefOrder>
  </b:Source>
  <b:Source>
    <b:Tag>Sch07</b:Tag>
    <b:SourceType>JournalArticle</b:SourceType>
    <b:Guid>{B5994DF1-DC3B-42B0-AADC-59CD268630A5}</b:Guid>
    <b:Author>
      <b:Author>
        <b:NameList>
          <b:Person>
            <b:Last>Schubert</b:Last>
            <b:First>A</b:First>
          </b:Person>
        </b:NameList>
      </b:Author>
    </b:Author>
    <b:Title>Succesive h-indices</b:Title>
    <b:JournalName>Scientometrics</b:JournalName>
    <b:Year>2007</b:Year>
    <b:Pages>201 - 205</b:Pages>
    <b:Volume>70</b:Volume>
    <b:RefOrder>179</b:RefOrder>
  </b:Source>
  <b:Source>
    <b:Tag>Vel12</b:Tag>
    <b:SourceType>JournalArticle</b:SourceType>
    <b:Guid>{4A0C56FF-E5FC-42D5-B0A5-5EAE237EFCE2}</b:Guid>
    <b:Author>
      <b:Author>
        <b:NameList>
          <b:Person>
            <b:Last>Velasco</b:Last>
            <b:First>B</b:First>
          </b:Person>
          <b:Person>
            <b:Last>Pinilla</b:Last>
            <b:First>M</b:First>
          </b:Person>
        </b:NameList>
      </b:Author>
    </b:Author>
    <b:Title>La utilización de los indicadores bibliométricos para evaluar la actividad investigadora</b:Title>
    <b:JournalName>Universidad de Oviedo</b:JournalName>
    <b:Year>2012</b:Year>
    <b:Pages>75 - 84</b:Pages>
    <b:Volume>40</b:Volume>
    <b:Issue>2</b:Issue>
    <b:RefOrder>180</b:RefOrder>
  </b:Source>
  <b:Source>
    <b:Tag>FEC20</b:Tag>
    <b:SourceType>InternetSite</b:SourceType>
    <b:Guid>{3BEE5306-C163-4B7B-96C8-FE35A80EB541}</b:Guid>
    <b:Title>Fundación Española para la Ciencia y la Tecnología</b:Title>
    <b:Year>2020</b:Year>
    <b:Author>
      <b:Author>
        <b:NameList>
          <b:Person>
            <b:Last>FECYT</b:Last>
          </b:Person>
        </b:NameList>
      </b:Author>
    </b:Author>
    <b:InternetSiteTitle>Fundación Española para la Ciencia y la Tecnología</b:InternetSiteTitle>
    <b:Month>11</b:Month>
    <b:Day>28</b:Day>
    <b:URL>https://www.recursoscientificos.fecyt.es</b:URL>
    <b:RefOrder>181</b:RefOrder>
  </b:Source>
  <b:Source>
    <b:Tag>Tor17</b:Tag>
    <b:SourceType>JournalArticle</b:SourceType>
    <b:Guid>{49E1F1D6-5857-4F8D-86B3-116F19D2860E}</b:Guid>
    <b:Author>
      <b:Author>
        <b:NameList>
          <b:Person>
            <b:Last>Torrijo</b:Last>
            <b:First>E</b:First>
          </b:Person>
          <b:Person>
            <b:Last>Espinoza</b:Last>
            <b:First>R</b:First>
          </b:Person>
        </b:NameList>
      </b:Author>
    </b:Author>
    <b:Title>Análisis bibliométrico de la literatura científica publicada en la revista La Técnica (2010-2016)</b:Title>
    <b:JournalName>Rehuso</b:JournalName>
    <b:Year>2017</b:Year>
    <b:Pages>67 - 72</b:Pages>
    <b:Volume>2</b:Volume>
    <b:Issue>1</b:Issue>
    <b:RefOrder>182</b:RefOrder>
  </b:Source>
  <b:Source>
    <b:Tag>Cha12</b:Tag>
    <b:SourceType>JournalArticle</b:SourceType>
    <b:Guid>{6F5B0A17-8FBA-461A-AE45-7C76AFE4CD5C}</b:Guid>
    <b:Author>
      <b:Author>
        <b:NameList>
          <b:Person>
            <b:Last>Chaviano</b:Last>
            <b:First>O</b:First>
          </b:Person>
        </b:NameList>
      </b:Author>
    </b:Author>
    <b:Title>Algunas consideraciones teórico-conceptuales sobre las disciplinas métricas</b:Title>
    <b:JournalName>ACIMED</b:JournalName>
    <b:Year>2012</b:Year>
    <b:Pages>56 - 61</b:Pages>
    <b:RefOrder>183</b:RefOrder>
  </b:Source>
  <b:Source>
    <b:Tag>Rub12</b:Tag>
    <b:SourceType>InternetSite</b:SourceType>
    <b:Guid>{AAB7C823-6613-4235-89C3-0635F671B443}</b:Guid>
    <b:Author>
      <b:Author>
        <b:NameList>
          <b:Person>
            <b:Last>Rubio</b:Last>
            <b:First>M</b:First>
          </b:Person>
        </b:NameList>
      </b:Author>
    </b:Author>
    <b:Title>Bibliometría y ciencias sociales</b:Title>
    <b:Year>2012</b:Year>
    <b:InternetSiteTitle>Bibliometría y ciencias sociales</b:InternetSiteTitle>
    <b:Month>8</b:Month>
    <b:Day>12</b:Day>
    <b:URL>http://clio.rediris.es/articulos/bibliometria.html</b:URL>
    <b:RefOrder>184</b:RefOrder>
  </b:Source>
  <b:Source>
    <b:Tag>Leo12</b:Tag>
    <b:SourceType>JournalArticle</b:SourceType>
    <b:Guid>{E084FAA9-940E-4C0A-9C55-EBB9780982F4}</b:Guid>
    <b:Title>Análisis bibliométrico sobre la producción científica archivística en la Red de Revistas Científicas de América Latina y el Caribe (Redalyc) durante el período 2001-2011</b:Title>
    <b:Year>2012</b:Year>
    <b:Author>
      <b:Author>
        <b:NameList>
          <b:Person>
            <b:Last>Leomar</b:Last>
            <b:First>J</b:First>
          </b:Person>
        </b:NameList>
      </b:Author>
    </b:Author>
    <b:JournalName>Biblios</b:JournalName>
    <b:Pages>78 - 82</b:Pages>
    <b:Volume>48</b:Volume>
    <b:RefOrder>185</b:RefOrder>
  </b:Source>
  <b:Source>
    <b:Tag>Alv15</b:Tag>
    <b:SourceType>JournalArticle</b:SourceType>
    <b:Guid>{CC362599-C51F-459D-A9F3-5FEAA76A5F9D}</b:Guid>
    <b:Author>
      <b:Author>
        <b:NameList>
          <b:Person>
            <b:Last>Alvarez</b:Last>
            <b:First>P</b:First>
          </b:Person>
          <b:Person>
            <b:Last>Montoro</b:Last>
            <b:First>M</b:First>
          </b:Person>
        </b:NameList>
      </b:Author>
    </b:Author>
    <b:Title>Análisis de la producción y de la visibilidad científica de Ecuador en el contexto Andino (2000-2013)</b:Title>
    <b:JournalName>Revista Internacional de Información y Comunicación</b:JournalName>
    <b:Year>2015</b:Year>
    <b:Pages>577 - 586</b:Pages>
    <b:Volume>24</b:Volume>
    <b:Issue>5</b:Issue>
    <b:RefOrder>186</b:RefOrder>
  </b:Source>
  <b:Source>
    <b:Tag>And13</b:Tag>
    <b:SourceType>JournalArticle</b:SourceType>
    <b:Guid>{1F85C471-4175-4B21-992F-373465C8C1CB}</b:Guid>
    <b:Author>
      <b:Author>
        <b:NameList>
          <b:Person>
            <b:Last>Andrade</b:Last>
            <b:First>C</b:First>
          </b:Person>
          <b:Person>
            <b:Last>López</b:Last>
            <b:First>A</b:First>
          </b:Person>
          <b:Person>
            <b:Last>Campillo</b:Last>
            <b:First>R</b:First>
          </b:Person>
        </b:NameList>
      </b:Author>
    </b:Author>
    <b:Title>Bibliometric analysis of South American research in sports science from 1970 to 2012</b:Title>
    <b:JournalName>Revista de Educação Física</b:JournalName>
    <b:Year>2013</b:Year>
    <b:Pages>783 - 791</b:Pages>
    <b:Volume>19</b:Volume>
    <b:Issue>4</b:Issue>
    <b:RefOrder>187</b:RefOrder>
  </b:Source>
  <b:Source>
    <b:Tag>Ayo15</b:Tag>
    <b:SourceType>JournalArticle</b:SourceType>
    <b:Guid>{2CCE3FA5-DD84-419E-87D4-C602145DE25A}</b:Guid>
    <b:Author>
      <b:Author>
        <b:NameList>
          <b:Person>
            <b:Last>Ayora</b:Last>
            <b:First>M</b:First>
          </b:Person>
        </b:NameList>
      </b:Author>
    </b:Author>
    <b:Title>La investigación científica en las universidades ecuatorianas</b:Title>
    <b:JournalName>Anales</b:JournalName>
    <b:Year>2015</b:Year>
    <b:Pages>61 - 72</b:Pages>
    <b:Volume>57</b:Volume>
    <b:RefOrder>188</b:RefOrder>
  </b:Source>
  <b:Source>
    <b:Tag>Hoo15</b:Tag>
    <b:SourceType>JournalArticle</b:SourceType>
    <b:Guid>{AF84A761-BE95-4E18-A2BC-DFAC299F0C85}</b:Guid>
    <b:Author>
      <b:Author>
        <b:NameList>
          <b:Person>
            <b:Last>Hoof</b:Last>
            <b:First>H</b:First>
          </b:Person>
        </b:NameList>
      </b:Author>
    </b:Author>
    <b:Title>Ecuador’s Efforts to Raise Its Research Profile: The Prometeo Program Case Study</b:Title>
    <b:JournalName>Journal of Hispanic Higher Education</b:JournalName>
    <b:Year>2015</b:Year>
    <b:Pages>56 - 68</b:Pages>
    <b:Volume>14</b:Volume>
    <b:Issue>1</b:Issue>
    <b:RefOrder>189</b:RefOrder>
  </b:Source>
  <b:Source>
    <b:Tag>Loo14</b:Tag>
    <b:SourceType>JournalArticle</b:SourceType>
    <b:Guid>{5EBFED92-77BA-42E7-8F08-DAF0347BA994}</b:Guid>
    <b:Author>
      <b:Author>
        <b:NameList>
          <b:Person>
            <b:Last>Loor</b:Last>
            <b:First>F</b:First>
          </b:Person>
        </b:NameList>
      </b:Author>
    </b:Author>
    <b:Title>Investigación y desarrollo en Ecuador: un análisis comparativo entre América Latina y el Caribe (2000 - 2012)</b:Title>
    <b:JournalName>Compendium</b:JournalName>
    <b:Year>2014</b:Year>
    <b:Pages>28 - 46</b:Pages>
    <b:Volume>1</b:Volume>
    <b:Issue>2</b:Issue>
    <b:RefOrder>190</b:RefOrder>
  </b:Source>
  <b:Source>
    <b:Tag>Sis11</b:Tag>
    <b:SourceType>JournalArticle</b:SourceType>
    <b:Guid>{AC12D577-D686-4759-8BBE-5EC502B4C334}</b:Guid>
    <b:Author>
      <b:Author>
        <b:NameList>
          <b:Person>
            <b:Last>Sisa</b:Last>
            <b:First>G</b:First>
          </b:Person>
        </b:NameList>
      </b:Author>
    </b:Author>
    <b:Title>La producción científica en ciencias de la salud en Ecuador</b:Title>
    <b:JournalName>Revista Panamericana de Salud Pública</b:JournalName>
    <b:Year>2011</b:Year>
    <b:Pages>388 - 392</b:Pages>
    <b:Volume>30</b:Volume>
    <b:Issue>4</b:Issue>
    <b:RefOrder>191</b:RefOrder>
  </b:Source>
  <b:Source>
    <b:Tag>Pou14</b:Tag>
    <b:SourceType>JournalArticle</b:SourceType>
    <b:Guid>{DF9B936A-B934-4228-B4AB-22C6523743EA}</b:Guid>
    <b:Author>
      <b:Author>
        <b:NameList>
          <b:Person>
            <b:Last>Pouris</b:Last>
            <b:First>A</b:First>
          </b:Person>
        </b:NameList>
      </b:Author>
    </b:Author>
    <b:Title>Research emphasis and collaboration in Africa</b:Title>
    <b:JournalName>Scientometrics</b:JournalName>
    <b:Year>2014</b:Year>
    <b:Pages>2169 - 2184</b:Pages>
    <b:Volume>98</b:Volume>
    <b:Issue>3</b:Issue>
    <b:RefOrder>192</b:RefOrder>
  </b:Source>
  <b:Source>
    <b:Tag>Nar91</b:Tag>
    <b:SourceType>JournalArticle</b:SourceType>
    <b:Guid>{31E359C0-CD02-43E5-8DD3-6E4A9A72A189}</b:Guid>
    <b:Author>
      <b:Author>
        <b:NameList>
          <b:Person>
            <b:Last>Narin</b:Last>
            <b:First>F</b:First>
          </b:Person>
        </b:NameList>
      </b:Author>
    </b:Author>
    <b:Title>Scientific cooperation in Europe and the citation of multinationally authored papers</b:Title>
    <b:JournalName>Scientometrics</b:JournalName>
    <b:Year>1991</b:Year>
    <b:Pages>313 - 323</b:Pages>
    <b:Volume>21</b:Volume>
    <b:Issue>3</b:Issue>
    <b:RefOrder>193</b:RefOrder>
  </b:Source>
  <b:Source>
    <b:Tag>MarcadorDePosición9</b:Tag>
    <b:SourceType>JournalArticle</b:SourceType>
    <b:Guid>{0BE1C591-49AE-49C1-910A-4F8B9B9A9922}</b:Guid>
    <b:Author>
      <b:Author>
        <b:NameList>
          <b:Person>
            <b:Last>Castillo</b:Last>
            <b:First>J</b:First>
          </b:Person>
          <b:Person>
            <b:Last>Powell</b:Last>
            <b:First>M</b:First>
          </b:Person>
        </b:NameList>
      </b:Author>
    </b:Author>
    <b:Title>Análisis de la producción científica del Ecuador e impacto de la colaboración internacional en el periodo 2006-2015</b:Title>
    <b:JournalName>Española de Documentación Científica</b:JournalName>
    <b:Year>2019</b:Year>
    <b:Pages>225 - 231</b:Pages>
    <b:Volume>42</b:Volume>
    <b:Issue>1</b:Issue>
    <b:RefOrder>194</b:RefOrder>
  </b:Source>
  <b:Source>
    <b:Tag>Tru10</b:Tag>
    <b:SourceType>JournalArticle</b:SourceType>
    <b:Guid>{15E6EE92-BCC3-4894-9603-7A964EF4C80B}</b:Guid>
    <b:Author>
      <b:Author>
        <b:NameList>
          <b:Person>
            <b:Last>Trueba</b:Last>
            <b:First>R</b:First>
          </b:Person>
          <b:Person>
            <b:Last>Estrada</b:Last>
            <b:First>M</b:First>
          </b:Person>
        </b:NameList>
      </b:Author>
    </b:Author>
    <b:Title>La base de datos PubMed y la bu ́squeda de informacion cientıfica</b:Title>
    <b:JournalName>Seminarios de la Fundacion Española de Reumatologıa</b:JournalName>
    <b:Year>2010</b:Year>
    <b:Pages>49 - 63</b:Pages>
    <b:Volume>11</b:Volume>
    <b:Issue>2</b:Issue>
    <b:RefOrder>195</b:RefOrder>
  </b:Source>
  <b:Source>
    <b:Tag>Bec19</b:Tag>
    <b:SourceType>JournalArticle</b:SourceType>
    <b:Guid>{CCDC07AE-4B9A-43D3-A11B-C63818D70128}</b:Guid>
    <b:Author>
      <b:Author>
        <b:NameList>
          <b:Person>
            <b:Last>Becerril</b:Last>
          </b:Person>
        </b:NameList>
      </b:Author>
    </b:Author>
    <b:Title>De re coquinaria como parte de una tradición de manuales de cocina griegos y romanos</b:Title>
    <b:JournalName>Creando Redes Doctorales</b:JournalName>
    <b:Year>2019</b:Year>
    <b:RefOrder>1</b:RefOrder>
  </b:Source>
  <b:Source>
    <b:Tag>Luj19</b:Tag>
    <b:SourceType>Book</b:SourceType>
    <b:Guid>{69DC0D07-3A80-45BE-AD00-AED026EC72AB}</b:Guid>
    <b:Author>
      <b:Author>
        <b:NameList>
          <b:Person>
            <b:Last>Luján</b:Last>
          </b:Person>
        </b:NameList>
      </b:Author>
    </b:Author>
    <b:Title>Historia de la gastronomía</b:Title>
    <b:Year>2019</b:Year>
    <b:RefOrder>2</b:RefOrder>
  </b:Source>
  <b:Source>
    <b:Tag>Her17</b:Tag>
    <b:SourceType>JournalArticle</b:SourceType>
    <b:Guid>{82349BD1-3D0C-436D-A15E-9B314393EF3B}</b:Guid>
    <b:Author>
      <b:Author>
        <b:NameList>
          <b:Person>
            <b:Last>Herrera</b:Last>
          </b:Person>
        </b:NameList>
      </b:Author>
    </b:Author>
    <b:Title>El rescate de una historia culinaria-Gastronomía típica Bolívar Ecuador</b:Title>
    <b:Year>2017</b:Year>
    <b:JournalName>Revista Caribeña de Ciencias Sociales</b:JournalName>
    <b:RefOrder>3</b:RefOrder>
  </b:Source>
  <b:Source>
    <b:Tag>Paz10</b:Tag>
    <b:SourceType>Book</b:SourceType>
    <b:Guid>{F2A67F90-036E-49D5-9F6B-E6BD39337327}</b:Guid>
    <b:Author>
      <b:Author>
        <b:NameList>
          <b:Person>
            <b:Last>Pazos-Barrera</b:Last>
          </b:Person>
        </b:NameList>
      </b:Author>
    </b:Author>
    <b:Title>Cocinas regionales andinas</b:Title>
    <b:Year>2010</b:Year>
    <b:City>Quito</b:City>
    <b:Publisher>Corporación Editora Nacional </b:Publisher>
    <b:RefOrder>7</b:RefOrder>
  </b:Source>
  <b:Source>
    <b:Tag>Muñ03</b:Tag>
    <b:SourceType>Book</b:SourceType>
    <b:Guid>{B4D28B3E-8315-43FA-89B5-A2586BAFDCB0}</b:Guid>
    <b:Author>
      <b:Author>
        <b:NameList>
          <b:Person>
            <b:Last>Muñoz</b:Last>
          </b:Person>
        </b:NameList>
      </b:Author>
    </b:Author>
    <b:Title>Cocina Latinoamericana </b:Title>
    <b:Year>2003</b:Year>
    <b:City>Quito </b:City>
    <b:Publisher>Promoselec</b:Publisher>
    <b:RefOrder>196</b:RefOrder>
  </b:Source>
  <b:Source>
    <b:Tag>Bem06</b:Tag>
    <b:SourceType>Book</b:SourceType>
    <b:Guid>{3D890C77-F9A0-4E26-8D3D-762A5AFAFACF}</b:Guid>
    <b:Author>
      <b:Author>
        <b:NameList>
          <b:Person>
            <b:Last>Bembire</b:Last>
          </b:Person>
        </b:NameList>
      </b:Author>
    </b:Author>
    <b:Title>Gastronomía ancestral</b:Title>
    <b:Year>2006</b:Year>
    <b:RefOrder>197</b:RefOrder>
  </b:Source>
  <b:Source>
    <b:Tag>Gue14</b:Tag>
    <b:SourceType>Book</b:SourceType>
    <b:Guid>{71722216-4950-43BF-A2BB-71EE3B46D603}</b:Guid>
    <b:Author>
      <b:Author>
        <b:NameList>
          <b:Person>
            <b:Last>Salgado</b:Last>
            <b:First>Guerra</b:First>
          </b:Person>
        </b:NameList>
      </b:Author>
    </b:Author>
    <b:Title>La gastronomía tradicional y su incidencia en el desarrollo turístico de la parroquia Atocha-Ficoa</b:Title>
    <b:Year>2014</b:Year>
    <b:City>UTA</b:City>
    <b:RefOrder>198</b:RefOrder>
  </b:Source>
  <b:Source>
    <b:Tag>Cla62</b:Tag>
    <b:SourceType>Book</b:SourceType>
    <b:Guid>{57058729-6CAB-4306-8220-2B58DEEF471C}</b:Guid>
    <b:Author>
      <b:Author>
        <b:NameList>
          <b:Person>
            <b:Last>Lévi-Strauss</b:Last>
            <b:First>Claude</b:First>
          </b:Person>
        </b:NameList>
      </b:Author>
    </b:Author>
    <b:Title>El Pensamiento Salvaje" (en francés: "La Pensée sauvage</b:Title>
    <b:Year>1962</b:Year>
    <b:RefOrder>199</b:RefOrder>
  </b:Source>
  <b:Source>
    <b:Tag>Sid96</b:Tag>
    <b:SourceType>Book</b:SourceType>
    <b:Guid>{DAB0D7CE-3636-491D-ADBE-56BA32612FBF}</b:Guid>
    <b:Author>
      <b:Author>
        <b:NameList>
          <b:Person>
            <b:Last>Sidney-Mintz</b:Last>
          </b:Person>
        </b:NameList>
      </b:Author>
    </b:Author>
    <b:Title>Dulzura y poder </b:Title>
    <b:Year>1996</b:Year>
    <b:RefOrder>200</b:RefOrder>
  </b:Source>
  <b:Source>
    <b:Tag>GOd82</b:Tag>
    <b:SourceType>Book</b:SourceType>
    <b:Guid>{2FB47237-5284-4849-9E09-985646EDA452}</b:Guid>
    <b:Author>
      <b:Author>
        <b:NameList>
          <b:Person>
            <b:Last>Godoy</b:Last>
          </b:Person>
        </b:NameList>
      </b:Author>
    </b:Author>
    <b:Title>Cocina, cuisine y arte. Autora Carina Perticone.</b:Title>
    <b:Year>1982</b:Year>
    <b:Publisher>Editorial UNICEN.</b:Publisher>
    <b:RefOrder>201</b:RefOrder>
  </b:Source>
  <b:Source>
    <b:Tag>Wra09</b:Tag>
    <b:SourceType>JournalArticle</b:SourceType>
    <b:Guid>{20D551DA-CDD2-4F68-8EEA-7D318B569F4E}</b:Guid>
    <b:Author>
      <b:Author>
        <b:NameList>
          <b:Person>
            <b:Last>Wrangham</b:Last>
            <b:First>Richard</b:First>
          </b:Person>
        </b:NameList>
      </b:Author>
    </b:Author>
    <b:Title>Catching Fire: How Cooking Made Us Human</b:Title>
    <b:Year>2009</b:Year>
    <b:Pages>447-449</b:Pages>
    <b:Volume>20</b:Volume>
    <b:URL>https://link.springer.com/article/10.1007/s12110-009-9075-3#citeas</b:URL>
    <b:DOI>https://doi.org/10.1007/s12110-009-9075-3</b:DOI>
    <b:RefOrder>202</b:RefOrder>
  </b:Source>
  <b:Source>
    <b:Tag>Fel04</b:Tag>
    <b:SourceType>JournalArticle</b:SourceType>
    <b:Guid>{A1D5AEDA-71D8-4FA2-B759-CB306A9ED6C1}</b:Guid>
    <b:Author>
      <b:Author>
        <b:NameList>
          <b:Person>
            <b:Last>Fernández-Armesto</b:Last>
            <b:First>Felipe</b:First>
          </b:Person>
        </b:NameList>
      </b:Author>
    </b:Author>
    <b:Title>Historia de la comida </b:Title>
    <b:JournalName>Tusquets </b:JournalName>
    <b:Year>2004</b:Year>
    <b:RefOrder>203</b:RefOrder>
  </b:Source>
  <b:Source>
    <b:Tag>Sos22</b:Tag>
    <b:SourceType>JournalArticle</b:SourceType>
    <b:Guid>{D275A99E-BE6C-4EE4-AB0D-E93C0F2D6E27}</b:Guid>
    <b:Author>
      <b:Author>
        <b:NameList>
          <b:Person>
            <b:Last>Sosa</b:Last>
          </b:Person>
        </b:NameList>
      </b:Author>
    </b:Author>
    <b:Title>Génesis de una identidad visual: Creación de la imagen para el Congreso Internacional de Patrimonio Alimentario y Museo</b:Title>
    <b:JournalName>El gusto en el museo </b:JournalName>
    <b:Year>2022</b:Year>
    <b:RefOrder>8</b:RefOrder>
  </b:Source>
  <b:Source>
    <b:Tag>Val20</b:Tag>
    <b:SourceType>JournalArticle</b:SourceType>
    <b:Guid>{5B54E7F4-636B-4043-87E4-2947538E720D}</b:Guid>
    <b:Author>
      <b:Author>
        <b:NameList>
          <b:Person>
            <b:Last>Valencia</b:Last>
          </b:Person>
        </b:NameList>
      </b:Author>
    </b:Author>
    <b:Title>Patrimonio cultural gastronómico: consideraciones teóricas</b:Title>
    <b:JournalName>Idesmarc</b:JournalName>
    <b:Year>2020</b:Year>
    <b:RefOrder>9</b:RefOrder>
  </b:Source>
  <b:Source>
    <b:Tag>Otá22</b:Tag>
    <b:SourceType>JournalArticle</b:SourceType>
    <b:Guid>{A471155F-BB6C-4F50-8518-B3671744A4F7}</b:Guid>
    <b:Author>
      <b:Author>
        <b:NameList>
          <b:Person>
            <b:Last>Otálvalo</b:Last>
          </b:Person>
        </b:NameList>
      </b:Author>
    </b:Author>
    <b:Title>La comida y sus dimensiones culturales: Una revisión integrativa del estado de la cuestión</b:Title>
    <b:JournalName>Humanities Review</b:JournalName>
    <b:Year>2022</b:Year>
    <b:RefOrder>10</b:RefOrder>
  </b:Source>
  <b:Source>
    <b:Tag>Sil201</b:Tag>
    <b:SourceType>JournalArticle</b:SourceType>
    <b:Guid>{4C15EF35-8D9E-4EA5-B87C-38B6D4C9EE1D}</b:Guid>
    <b:Author>
      <b:Author>
        <b:NameList>
          <b:Person>
            <b:Last>Silva-Tejeda</b:Last>
          </b:Person>
        </b:NameList>
      </b:Author>
    </b:Author>
    <b:Title>Los alimentos como arma geopolítica, seguridad nacional alimentaria en el mundo multipolar y el caso de la dependencia de México con EE. UU.</b:Title>
    <b:JournalName>Repositorio institucional </b:JournalName>
    <b:Year>2020</b:Year>
    <b:RefOrder>204</b:RefOrder>
  </b:Source>
  <b:Source>
    <b:Tag>Cas24</b:Tag>
    <b:SourceType>InternetSite</b:SourceType>
    <b:Guid>{8EDEADCB-D796-4964-8C06-6852B383FE50}</b:Guid>
    <b:Author>
      <b:Author>
        <b:NameList>
          <b:Person>
            <b:Last>Casa-Mendoza</b:Last>
          </b:Person>
        </b:NameList>
      </b:Author>
    </b:Author>
    <b:Title>Cocina tradicional y memoria histórica del Cantón Saquisilí</b:Title>
    <b:Year>2024</b:Year>
    <b:URL>https://repositorio.uta.edu.ec/handle/123456789/40367</b:URL>
    <b:RefOrder>205</b:RefOrder>
  </b:Source>
  <b:Source>
    <b:Tag>Ana13</b:Tag>
    <b:SourceType>Misc</b:SourceType>
    <b:Guid>{6455DAFA-26E1-4E49-B962-0944EFCDE6CB}</b:Guid>
    <b:Title>Camino de los Dioses Guancavilcas</b:Title>
    <b:Year>2013</b:Year>
    <b:City>Guayaquil</b:City>
    <b:Publisher>instituto Nacional de Patrimonio Cultural</b:Publisher>
    <b:Author>
      <b:Author>
        <b:NameList>
          <b:Person>
            <b:Last>Freire</b:Last>
            <b:First>Ana</b:First>
            <b:Middle>Martiza</b:Middle>
          </b:Person>
        </b:NameList>
      </b:Author>
    </b:Author>
    <b:PublicationTitle>Camino de los Dioses Guancavilcas</b:PublicationTitle>
    <b:StateProvince>Guayas</b:StateProvince>
    <b:CountryRegion>Ecuador</b:CountryRegion>
    <b:RefOrder>6</b:RefOrder>
  </b:Source>
  <b:Source>
    <b:Tag>GAD19</b:Tag>
    <b:SourceType>Misc</b:SourceType>
    <b:Guid>{513281AD-9D48-423E-9614-683B1D28F857}</b:Guid>
    <b:Author>
      <b:Author>
        <b:NameList>
          <b:Person>
            <b:Last>ELENA</b:Last>
            <b:First>GAD</b:First>
            <b:Middle>SANTA</b:Middle>
          </b:Person>
        </b:NameList>
      </b:Author>
    </b:Author>
    <b:Title>La capital del Mar y la tierra</b:Title>
    <b:PublicationTitle>PLAN DE DESARROLLO Y ORDENAMIENTO TERRITORIAL</b:PublicationTitle>
    <b:Year>2014-2019</b:Year>
    <b:City>Santa Elena</b:City>
    <b:StateProvince>Santa Elena</b:StateProvince>
    <b:CountryRegion>Ecuador</b:CountryRegion>
    <b:Publisher>GAD SANTA ELENA</b:Publisher>
    <b:RefOrder>4</b:RefOrder>
  </b:Source>
  <b:Source>
    <b:Tag>War17</b:Tag>
    <b:SourceType>InternetSite</b:SourceType>
    <b:Guid>{83C3BA29-6B8E-4B94-B916-D12036CCBC0E}</b:Guid>
    <b:Author>
      <b:Author>
        <b:NameList>
          <b:Person>
            <b:Last>Wardle</b:Last>
            <b:First>Claire</b:First>
          </b:Person>
        </b:NameList>
      </b:Author>
    </b:Author>
    <b:Title>First Draft</b:Title>
    <b:Year>2017</b:Year>
    <b:Month>03</b:Month>
    <b:Day>14</b:Day>
    <b:URL>https://es.firstdraftnews.org/2017/03/14/noticias-falsas-es-complicado/</b:URL>
    <b:YearAccessed>2020</b:YearAccessed>
    <b:MonthAccessed>04</b:MonthAccessed>
    <b:DayAccessed>26</b:DayAccessed>
    <b:ShortTitle>Noticias falsas. Es complicado.</b:ShortTitle>
    <b:RefOrder>206</b:RefOrder>
  </b:Source>
  <b:Source>
    <b:Tag>BBC28</b:Tag>
    <b:SourceType>InternetSite</b:SourceType>
    <b:Guid>{162771CE-BA39-4F64-8DD9-30F48A2162BC}</b:Guid>
    <b:Title>Guía básica para identificar noticias falsas (antes de mandarlas a tus grupos de WhatsApp)</b:Title>
    <b:Year>2018</b:Year>
    <b:Month>09</b:Month>
    <b:Day>18</b:Day>
    <b:Author>
      <b:Author>
        <b:Corporate>BBC</b:Corporate>
      </b:Author>
    </b:Author>
    <b:URL>https://www.bbc.com/mundo/noticias-45561204</b:URL>
    <b:YearAccessed>2020</b:YearAccessed>
    <b:MonthAccessed>04</b:MonthAccessed>
    <b:DayAccessed>25</b:DayAccessed>
    <b:RefOrder>207</b:RefOrder>
  </b:Source>
  <b:Source>
    <b:Tag>Ins18</b:Tag>
    <b:SourceType>InternetSite</b:SourceType>
    <b:Guid>{866910D5-4A4D-488C-9A17-7E1A14A5F519}</b:Guid>
    <b:Author>
      <b:Author>
        <b:Corporate>Instituto de Tecnología de Massachusetts</b:Corporate>
      </b:Author>
    </b:Author>
    <b:Title>Instituto de Tecnología de Massachusetts</b:Title>
    <b:Year>2018</b:Year>
    <b:Month>03</b:Month>
    <b:Day>08</b:Day>
    <b:URL>http://news.mit.edu/2018/study-twitter-false-news-travels-faster-true-stories-0308</b:URL>
    <b:YearAccessed>2020</b:YearAccessed>
    <b:MonthAccessed>04</b:MonthAccessed>
    <b:DayAccessed>24</b:DayAccessed>
    <b:ShortTitle>Estudio: en Twitter, las noticias falsas viajan más rápido que las historias reales</b:ShortTitle>
    <b:RefOrder>208</b:RefOrder>
  </b:Source>
  <b:Source>
    <b:Tag>Fre13</b:Tag>
    <b:SourceType>BookSection</b:SourceType>
    <b:Guid>{E7975F95-5740-4EB9-9EF3-1BB1FA7C2AB2}</b:Guid>
    <b:Title>Camino de los Dioses Guancavilcas</b:Title>
    <b:Year>2013</b:Year>
    <b:Author>
      <b:Author>
        <b:NameList>
          <b:Person>
            <b:Last>Freire</b:Last>
            <b:First>Ana</b:First>
            <b:Middle>Maritza</b:Middle>
          </b:Person>
        </b:NameList>
      </b:Author>
    </b:Author>
    <b:Publisher>nstituto Nacional de Patrimonio Cultural,</b:Publisher>
    <b:RefOrder>209</b:RefOrder>
  </b:Source>
  <b:Source>
    <b:Tag>INE10</b:Tag>
    <b:SourceType>Report</b:SourceType>
    <b:Guid>{B8BE564B-6335-493F-B5BF-800F00292887}</b:Guid>
    <b:Title>Censo Poblacion y vivienda</b:Title>
    <b:Year>2010</b:Year>
    <b:Author>
      <b:Author>
        <b:NameList>
          <b:Person>
            <b:Last>INEC</b:Last>
          </b:Person>
        </b:NameList>
      </b:Author>
    </b:Author>
    <b:City>Quito</b:City>
    <b:RefOrder>210</b:RefOrder>
  </b:Source>
  <b:Source>
    <b:Tag>Min13</b:Tag>
    <b:SourceType>Book</b:SourceType>
    <b:Guid>{E2415DBD-DFB4-4AF4-A214-290E16C0300B}</b:Guid>
    <b:Title>Plan de Desarrollo integral comunal</b:Title>
    <b:Year>2013</b:Year>
    <b:Publisher>Ministerio de Cultura y Patrimonio</b:Publisher>
    <b:City>Quito</b:City>
    <b:Author>
      <b:Author>
        <b:NameList>
          <b:Person>
            <b:Last>patrimonio</b:Last>
            <b:First>Ministerio</b:First>
            <b:Middle>de Cultura y</b:Middle>
          </b:Person>
        </b:NameList>
      </b:Author>
    </b:Author>
    <b:RefOrder>211</b:RefOrder>
  </b:Source>
  <b:Source>
    <b:Tag>Vil15</b:Tag>
    <b:SourceType>Book</b:SourceType>
    <b:Guid>{C0511DBD-420F-4CE4-B05F-9112A615AFC5}</b:Guid>
    <b:Author>
      <b:Author>
        <b:NameList>
          <b:Person>
            <b:Last>Villao Viteri</b:Last>
            <b:First>J</b:First>
          </b:Person>
        </b:NameList>
      </b:Author>
    </b:Author>
    <b:Title>Plan de Desarrollo Agroturístico para la comuna de la Provincia de Santa Elena</b:Title>
    <b:Year>2015</b:Year>
    <b:City>Quito</b:City>
    <b:RefOrder>212</b:RefOrder>
  </b:Source>
  <b:Source>
    <b:Tag>Ecu16</b:Tag>
    <b:SourceType>Misc</b:SourceType>
    <b:Guid>{7EBE36C6-DF86-4570-A572-63BF507FAFE6}</b:Guid>
    <b:Title>Razón y Palabra</b:Title>
    <b:PublicationTitle>Significados, identidades y estudios culturales: Una introducción al pensamiento de Stuart Hall.</b:PublicationTitle>
    <b:Year>2016</b:Year>
    <b:Month>marzo</b:Month>
    <b:City>Quito</b:City>
    <b:StateProvince>Pichincha</b:StateProvince>
    <b:CountryRegion>Ecuador</b:CountryRegion>
    <b:Publisher>Primera revista electrónica en Iberoamérica Especializada en Comunicación</b:Publisher>
    <b:Author>
      <b:Author>
        <b:NameList>
          <b:Person>
            <b:Last>Ecuador</b:Last>
            <b:First>Universidad</b:First>
            <b:Middle>de los Hemisferios</b:Middle>
          </b:Person>
        </b:NameList>
      </b:Author>
    </b:Author>
    <b:RefOrder>213</b:RefOrder>
  </b:Source>
  <b:Source>
    <b:Tag>Yag24</b:Tag>
    <b:SourceType>Misc</b:SourceType>
    <b:Guid>{2EA7F140-4A4C-4435-A7FA-5E754E39C871}</b:Guid>
    <b:Author>
      <b:Author>
        <b:NameList>
          <b:Person>
            <b:Last>Eduardo</b:Last>
            <b:First>Yagual</b:First>
            <b:Middle>Suarez</b:Middle>
          </b:Person>
        </b:NameList>
      </b:Author>
    </b:Author>
    <b:Title>Turismo Cultural: Ruta de los museos de la Provincia de Santa Elena</b:Title>
    <b:Year>2024</b:Year>
    <b:City>Libertad</b:City>
    <b:StateProvince>Santa Elena</b:StateProvince>
    <b:CountryRegion>Ecuador</b:CountryRegion>
    <b:Publisher>Tesis</b:Publisher>
    <b:RefOrder>214</b:RefOrder>
  </b:Source>
  <b:Source>
    <b:Tag>Alb22</b:Tag>
    <b:SourceType>InternetSite</b:SourceType>
    <b:Guid>{2DAEA961-9DD3-4A05-978B-5B0672695E49}</b:Guid>
    <b:Author>
      <b:Author>
        <b:NameList>
          <b:Person>
            <b:Last>Serratacó</b:Last>
            <b:First>Albert</b:First>
          </b:Person>
        </b:NameList>
      </b:Author>
    </b:Author>
    <b:Title>Los traveleros</b:Title>
    <b:InternetSiteTitle>Comida típica de Ecuador: 15 platos que debes probar</b:InternetSiteTitle>
    <b:Year>2022</b:Year>
    <b:Month>febrero</b:Month>
    <b:Day>25</b:Day>
    <b:URL>https://lostraveleros.com/comida-tipica-de-ecuador/</b:URL>
    <b:RefOrder>215</b:RefOrder>
  </b:Source>
  <b:Source>
    <b:Tag>MarcadorDePosición10</b:Tag>
    <b:SourceType>InternetSite</b:SourceType>
    <b:Guid>{52C3FE4C-EEB9-476A-9F39-9F99D371B1DD}</b:Guid>
    <b:Title>La capital del Mar y la tierra</b:Title>
    <b:PublicationTitle>Plan de ordenamiento territorial</b:PublicationTitle>
    <b:Year>2014-2019</b:Year>
    <b:StateProvince>Santa Elena</b:StateProvince>
    <b:CountryRegion>Ecuador</b:CountryRegion>
    <b:Author>
      <b:Author>
        <b:Corporate>Gobierno Autónomo Municipal de Santa Elena. (GAD)</b:Corporate>
      </b:Author>
    </b:Author>
    <b:URL>http://www.gadse.gob.ec/gadse/</b:URL>
    <b:RefOrder>5</b:RefOrder>
  </b:Source>
  <b:Source>
    <b:Tag>ONU18</b:Tag>
    <b:SourceType>InternetSite</b:SourceType>
    <b:Guid>{3F45E258-4845-4223-ADCC-8505FCCF80A1}</b:Guid>
    <b:Title>Objetivos de Desarrollo Sostenible</b:Title>
    <b:Year>2020</b:Year>
    <b:Author>
      <b:Author>
        <b:Corporate>ONU</b:Corporate>
      </b:Author>
    </b:Author>
    <b:InternetSiteTitle>Objetivos de Desarrollo Sostenible</b:InternetSiteTitle>
    <b:Month>01</b:Month>
    <b:Day>30</b:Day>
    <b:URL>https://www.un.org/sustainabledevelopment/es/sustainable-consumption-production/</b:URL>
    <b:YearAccessed>2022</b:YearAccessed>
    <b:MonthAccessed>11</b:MonthAccessed>
    <b:DayAccessed>30</b:DayAccessed>
    <b:RefOrder>1</b:RefOrder>
  </b:Source>
  <b:Source>
    <b:Tag>PNU22</b:Tag>
    <b:SourceType>InternetSite</b:SourceType>
    <b:Guid>{083BA8EB-96C4-4C98-9EB7-616688756A59}</b:Guid>
    <b:Author>
      <b:Author>
        <b:Corporate>PNUD</b:Corporate>
      </b:Author>
    </b:Author>
    <b:Title>Objetivo 12: Consumo y Producción Responsables</b:Title>
    <b:InternetSiteTitle>Objetivo 12: Consumo y Producción Responsables</b:InternetSiteTitle>
    <b:Year>2022</b:Year>
    <b:Month>11</b:Month>
    <b:Day>30</b:Day>
    <b:URL>https://www.undp.org/sustainable-development-goals?utm_source=EN&amp;utm_medium=GSR&amp;utm_content=US_UNDP_PaidSearch_Brand_English&amp;utm_campaign=CENTRAL&amp;c_src=CENTRAL&amp;c_src2=GSR&amp;gclid=Cj0KCQiAm5ycBhCXARIsAPldzoUwAONQXsvF2n-lhgq0nMtBznZAhbqoZ8mtjRU5AF74XhzYhFjyqR</b:URL>
    <b:RefOrder>2</b:RefOrder>
  </b:Source>
  <b:Source>
    <b:Tag>Ber212</b:Tag>
    <b:SourceType>JournalArticle</b:SourceType>
    <b:Guid>{D75A216D-16F0-4994-AF88-3FE0493CA0A5}</b:Guid>
    <b:Title>Gestión de llantas usadas en la ciudad de Tunja, Boyacá (Colombia)</b:Title>
    <b:Year>2021</b:Year>
    <b:DOI>https://doi.org/10.31910/rudca.v24.n1.2021.1627</b:DOI>
    <b:JournalName>Revista U.D.C.A Actualidad &amp; Divulgación Científica</b:JournalName>
    <b:Volume>24</b:Volume>
    <b:Issue>1</b:Issue>
    <b:Author>
      <b:Author>
        <b:NameList>
          <b:Person>
            <b:Last>Bernal</b:Last>
            <b:First>Andrea</b:First>
          </b:Person>
          <b:Person>
            <b:Last>Rocha</b:Last>
            <b:First>Zulma</b:First>
          </b:Person>
          <b:Person>
            <b:Last>Medina</b:Last>
            <b:First>Jenny</b:First>
          </b:Person>
          <b:Person>
            <b:Last>Casas</b:Last>
            <b:First>Yenny</b:First>
          </b:Person>
          <b:Person>
            <b:Last>Buitrago</b:Last>
            <b:First>Leidy</b:First>
          </b:Person>
        </b:NameList>
      </b:Author>
    </b:Author>
    <b:Pages>1-9</b:Pages>
    <b:RefOrder>3</b:RefOrder>
  </b:Source>
  <b:Source>
    <b:Tag>Roc</b:Tag>
    <b:SourceType>JournalArticle</b:SourceType>
    <b:Guid>{7C660D33-1658-4735-911B-0F2AADE171F7}</b:Guid>
    <b:Title>Gestión de llantas usadas en municipios de baja complejidad de la Provincia Centro del departamento de Boyacá, Colombia</b:Title>
    <b:Author>
      <b:Author>
        <b:NameList>
          <b:Person>
            <b:Last>Rocha</b:Last>
            <b:First>Zulma</b:First>
          </b:Person>
          <b:Person>
            <b:Last>Bernal</b:Last>
            <b:First>Andrea</b:First>
          </b:Person>
          <b:Person>
            <b:Last>Buitrago</b:Last>
            <b:First>Leidy</b:First>
          </b:Person>
        </b:NameList>
      </b:Author>
    </b:Author>
    <b:JournalName>Mutis</b:JournalName>
    <b:Year>2021</b:Year>
    <b:Pages>1-15</b:Pages>
    <b:Volume>11</b:Volume>
    <b:Issue>2</b:Issue>
    <b:DOI>https://doi.org/10.21789/22561498.1767</b:DOI>
    <b:RefOrder>4</b:RefOrder>
  </b:Source>
  <b:Source>
    <b:Tag>Far221</b:Tag>
    <b:SourceType>Book</b:SourceType>
    <b:Guid>{0B48024F-CBDB-4DCF-B29E-E240A600171F}</b:Guid>
    <b:Title>Análisis del impacto ambiental causado para la fabricación, uso y disposición final de neumáticos; con propuesta de reciclaje en bloques de hormigón</b:Title>
    <b:Year>2022</b:Year>
    <b:DOI>https://dspace.ups.edu.ec/bitstream/123456789/23599/1/UPS-GT003983.pdf</b:DOI>
    <b:Author>
      <b:Author>
        <b:NameList>
          <b:Person>
            <b:Last>Fariño</b:Last>
            <b:First>Katherine</b:First>
          </b:Person>
        </b:NameList>
      </b:Author>
    </b:Author>
    <b:Publisher>Universidad Politécnica Salesiana</b:Publisher>
    <b:City>Guayaquil</b:City>
    <b:RefOrder>5</b:RefOrder>
  </b:Source>
  <b:Source>
    <b:Tag>Rau24</b:Tag>
    <b:SourceType>JournalArticle</b:SourceType>
    <b:Guid>{EB6F078C-8849-4026-9F0A-781C92AE11D0}</b:Guid>
    <b:Title>Economía circular: una revisión bibliométrica y sistemática</b:Title>
    <b:JournalName>Región Científica</b:JournalName>
    <b:Year>2024</b:Year>
    <b:Pages>1-11</b:Pages>
    <b:Volume>3</b:Volume>
    <b:Issue>1</b:Issue>
    <b:DOI>https://doi.org/10.58763/rc2024192</b:DOI>
    <b:Author>
      <b:Author>
        <b:NameList>
          <b:Person>
            <b:Last>Raudales</b:Last>
            <b:First>Eli</b:First>
          </b:Person>
          <b:Person>
            <b:Last>Acosta</b:Last>
            <b:First>José</b:First>
          </b:Person>
          <b:Person>
            <b:Last>Aguilar</b:Last>
            <b:First>Pablo</b:First>
          </b:Person>
        </b:NameList>
      </b:Author>
    </b:Author>
    <b:RefOrder>6</b:RefOrder>
  </b:Source>
  <b:Source>
    <b:Tag>Car</b:Tag>
    <b:SourceType>Book</b:SourceType>
    <b:Guid>{F45ACD1F-E665-442D-9A99-52EFAD3A285C}</b:Guid>
    <b:Title>Economía circular en América Latina y el Caribe</b:Title>
    <b:Author>
      <b:Author>
        <b:NameList>
          <b:Person>
            <b:Last>Carlos</b:Last>
            <b:First>M</b:First>
          </b:Person>
          <b:Person>
            <b:Last>Martínez</b:Last>
            <b:First>K</b:First>
          </b:Person>
          <b:Person>
            <b:Last>Pereira</b:Last>
            <b:First>M</b:First>
          </b:Person>
          <b:Person>
            <b:Last>Martín</b:Last>
            <b:First>K</b:First>
          </b:Person>
        </b:NameList>
      </b:Author>
    </b:Author>
    <b:Year>2021</b:Year>
    <b:Publisher>Naciones Unidas</b:Publisher>
    <b:DOI>https://repositorio.cepal.org/bitstream/handle/11362/47309/1/S2100423_es.pdf</b:DOI>
    <b:RefOrder>7</b:RefOrder>
  </b:Source>
  <b:Source>
    <b:Tag>Pal23</b:Tag>
    <b:SourceType>Book</b:SourceType>
    <b:Guid>{C0D8DDCA-1DE1-4ECB-B608-6AD0F4C5137F}</b:Guid>
    <b:Title>Diseño y economía circular como modelo de producción sostenible en el sector manufacturero de muebles de madera y sus partes en el Ecuador</b:Title>
    <b:Year>2023</b:Year>
    <b:DOI>http://www.dspace.uce.edu.ec/bitstream/25000/29254/1/FING-CIDI-PALMA%20LISSETTE.pdf</b:DOI>
    <b:Author>
      <b:Author>
        <b:NameList>
          <b:Person>
            <b:Last>Palma</b:Last>
            <b:First>L</b:First>
          </b:Person>
        </b:NameList>
      </b:Author>
    </b:Author>
    <b:Publisher>Universidad Central del Ecuador</b:Publisher>
    <b:RefOrder>8</b:RefOrder>
  </b:Source>
  <b:Source>
    <b:Tag>Ara22</b:Tag>
    <b:SourceType>Book</b:SourceType>
    <b:Guid>{3637052A-6F65-4CC4-BFC2-E5BF5CE72F56}</b:Guid>
    <b:Author>
      <b:Author>
        <b:NameList>
          <b:Person>
            <b:Last>Arana</b:Last>
            <b:First>S</b:First>
          </b:Person>
        </b:NameList>
      </b:Author>
    </b:Author>
    <b:Title>Economía Circular, Factibilidad de reutilización de residuos de plásticos PET, PBD para la fabricacion de carteras EcoDrim</b:Title>
    <b:Year>2022</b:Year>
    <b:Publisher>Universidad Politécnica Salesiana</b:Publisher>
    <b:DOI>https://dspace.ups.edu.ec/bitstream/123456789/24081/1/UPS-GT004184.pdf</b:DOI>
    <b:RefOrder>9</b:RefOrder>
  </b:Source>
  <b:Source>
    <b:Tag>Cor232</b:Tag>
    <b:SourceType>Book</b:SourceType>
    <b:Guid>{86041D27-B7ED-4482-B274-0C93BBBFADEB}</b:Guid>
    <b:Author>
      <b:Author>
        <b:NameList>
          <b:Person>
            <b:Last>Cordova</b:Last>
            <b:First>P</b:First>
          </b:Person>
          <b:Person>
            <b:Last>Vera</b:Last>
            <b:First>Ma</b:First>
          </b:Person>
        </b:NameList>
      </b:Author>
    </b:Author>
    <b:Title>Economía circular como desarrollo sostenible, reciclaje y medio ambiente en el GAD Municipal del cantón Bolívar</b:Title>
    <b:Year>2023</b:Year>
    <b:Publisher>Escuela Superior Politécnica Agropecuaria de Manabí</b:Publisher>
    <b:DOI>https://repositorio.espam.edu.ec/bitstream/42000/2212/1/TIC_AP92D.pdf</b:DOI>
    <b:RefOrder>10</b:RefOrder>
  </b:Source>
  <b:Source>
    <b:Tag>Par203</b:Tag>
    <b:SourceType>Book</b:SourceType>
    <b:Guid>{95AE194A-500E-4055-A7E1-81983BF0CB97}</b:Guid>
    <b:Author>
      <b:Author>
        <b:NameList>
          <b:Person>
            <b:Last>Parra</b:Last>
            <b:First>G</b:First>
          </b:Person>
          <b:Person>
            <b:Last>Mogollón</b:Last>
            <b:First>V</b:First>
          </b:Person>
        </b:NameList>
      </b:Author>
    </b:Author>
    <b:Title>Moda Sostenible, una nueva tendencia de los Millennials en Colombia</b:Title>
    <b:Year>2020</b:Year>
    <b:City>Bogotá</b:City>
    <b:Publisher>Colegio de Estudios Superiores de Administración – CESA. </b:Publisher>
    <b:DOI>https://repository.cesa.edu.co/bitstream/handle/10726/2522/ADM_1032484006_2020_1.pdf?sequence=5&amp;isAllowed=y</b:DOI>
    <b:RefOrder>11</b:RefOrder>
  </b:Source>
  <b:Source>
    <b:Tag>Arr19</b:Tag>
    <b:SourceType>JournalArticle</b:SourceType>
    <b:Guid>{DF0F7D78-B2D4-4BD4-BEE5-F7F2D0A799A9}</b:Guid>
    <b:Title>La Economía Circular Como Factor De Desarrollo Sustentable Del Sector Productivo</b:Title>
    <b:Year>2020</b:Year>
    <b:DOI>ISSN 2477-9024</b:DOI>
    <b:Author>
      <b:Author>
        <b:NameList>
          <b:Person>
            <b:Last>Arroyo</b:Last>
            <b:First>F</b:First>
          </b:Person>
        </b:NameList>
      </b:Author>
    </b:Author>
    <b:JournalName>INNOVA Research Journal</b:JournalName>
    <b:Pages>78-98</b:Pages>
    <b:Volume>3</b:Volume>
    <b:Issue>12</b:Issue>
    <b:RefOrder>12</b:RefOrder>
  </b:Source>
  <b:Source>
    <b:Tag>Góm191</b:Tag>
    <b:SourceType>InternetSite</b:SourceType>
    <b:Guid>{5EFD6FE9-6644-44C1-883C-8B84DE9B9D9C}</b:Guid>
    <b:Author>
      <b:Author>
        <b:NameList>
          <b:Person>
            <b:Last>Gómez</b:Last>
            <b:First>A</b:First>
          </b:Person>
          <b:Person>
            <b:Last>Fuenmayor</b:Last>
            <b:First>O</b:First>
          </b:Person>
        </b:NameList>
      </b:Author>
    </b:Author>
    <b:Title>Cadena de valor de la moda fast-fashion</b:Title>
    <b:Year>2020</b:Year>
    <b:Month>Noviembre</b:Month>
    <b:Day>06</b:Day>
    <b:URL>https://seampedia.com/cadena-de-valor-de-la-moda-fast-fashion/</b:URL>
    <b:RefOrder>13</b:RefOrder>
  </b:Source>
  <b:Source>
    <b:Tag>Pal22</b:Tag>
    <b:SourceType>Book</b:SourceType>
    <b:Guid>{08ACD063-0EF9-4F45-B61A-2E5FCFB23A8E}</b:Guid>
    <b:Author>
      <b:Author>
        <b:NameList>
          <b:Person>
            <b:Last>Palma</b:Last>
            <b:First>F</b:First>
          </b:Person>
          <b:Person>
            <b:Last>Vásquez</b:Last>
            <b:First>L</b:First>
          </b:Person>
        </b:NameList>
      </b:Author>
    </b:Author>
    <b:Title>Disposición Ecoeficiente de los Neumáticos en Desuso en una Empresa de Transportes – Lima</b:Title>
    <b:Year>2022</b:Year>
    <b:Publisher>Universidad César Vallejo</b:Publisher>
    <b:DOI>https://repositorio.ucv.edu.pe/bitstream/handle/20.500.12692/112268/Palma_PFR-Vasquez_ALS-SD.pdf?sequence=1&amp;isAllowed=y</b:DOI>
    <b:RefOrder>14</b:RefOrder>
  </b:Source>
  <b:Source>
    <b:Tag>Agu23</b:Tag>
    <b:SourceType>Book</b:SourceType>
    <b:Guid>{16D3BC6C-6F6C-4695-AE23-6031C00C9AB8}</b:Guid>
    <b:Author>
      <b:Author>
        <b:NameList>
          <b:Person>
            <b:Last>Aguilar</b:Last>
            <b:First>J</b:First>
          </b:Person>
        </b:NameList>
      </b:Author>
    </b:Author>
    <b:Title>Contaminación ambiental por la inadecuada gestión de llantas usadas por el parque automotor del Municipio de Villavicencio</b:Title>
    <b:Year>2023</b:Year>
    <b:Publisher>Universidad Nacional Abierta y a Distancia UNAD </b:Publisher>
    <b:DOI>https://repository.unad.edu.co/jspui/bitstream/10596/54711/1/JDAGUILARP.pdf</b:DOI>
    <b:RefOrder>15</b:RefOrder>
  </b:Source>
  <b:Source>
    <b:Tag>Ros20</b:Tag>
    <b:SourceType>Book</b:SourceType>
    <b:Guid>{5F7A6AAF-EAEE-4941-857B-BD8AB008DF14}</b:Guid>
    <b:Author>
      <b:Author>
        <b:NameList>
          <b:Person>
            <b:Last>Rosas</b:Last>
            <b:First>D</b:First>
          </b:Person>
        </b:NameList>
      </b:Author>
    </b:Author>
    <b:Title>Estusio Estratégico para una planta recicladora de llantas en desuso para la obteención de caucho reutilizable</b:Title>
    <b:Year>2020</b:Year>
    <b:Publisher>Pontificia Universidad Católica del Perú</b:Publisher>
    <b:DOI>https://tesis.pucp.edu.pe/repositorio/bitstream/handle/20.500.12404/18229/ROSAS_CORTEZ_DANIEL_ESTUDIO_ESTRAT%C3%89GICO_PLANTA.pdf?sequence=1&amp;isAllowed=y</b:DOI>
    <b:RefOrder>16</b:RefOrder>
  </b:Source>
  <b:Source>
    <b:Tag>Pad201</b:Tag>
    <b:SourceType>Book</b:SourceType>
    <b:Guid>{774FBEFB-A746-4AA3-9800-8F7E8095382D}</b:Guid>
    <b:Author>
      <b:Author>
        <b:NameList>
          <b:Person>
            <b:Last>Padilla</b:Last>
            <b:First>B</b:First>
          </b:Person>
        </b:NameList>
      </b:Author>
    </b:Author>
    <b:Title>Propuesta para incorporar a la cadena productiva las llantas usadas generadas en Cartagena de Indias</b:Title>
    <b:Year>2020</b:Year>
    <b:Publisher>Universidad de Cartagena</b:Publisher>
    <b:DOI>https://repositorio.unicartagena.edu.co/bitstream/handle/11227/14596/BELEDIS%20PADILLA%20LOPEZ%20-%20Trabajo%20final.pdf?sequence=1&amp;isAllowed=y</b:DOI>
    <b:RefOrder>17</b:RefOrder>
  </b:Source>
  <b:Source>
    <b:Tag>Abu20</b:Tag>
    <b:SourceType>Book</b:SourceType>
    <b:Guid>{30AB7ED8-1C1A-461E-BDEB-27EAF5486948}</b:Guid>
    <b:Author>
      <b:Author>
        <b:NameList>
          <b:Person>
            <b:Last>Abugattas</b:Last>
            <b:First>C</b:First>
          </b:Person>
          <b:Person>
            <b:Last>Carnero</b:Last>
            <b:First>G</b:First>
          </b:Person>
        </b:NameList>
      </b:Author>
    </b:Author>
    <b:Title>“Investigación sobre la realidad del caucho en desuso en Perú comparándolo con otros países</b:Title>
    <b:Year>2020</b:Year>
    <b:Publisher>Universidad Católica San Pablo</b:Publisher>
    <b:DOI>https://repositorio.ucsp.edu.pe/backend/api/core/bitstreams/24c6ade5-9b1b-4039-86f5-6c7a14df7cbe/content</b:DOI>
    <b:RefOrder>18</b:RefOrder>
  </b:Source>
  <b:Source>
    <b:Tag>Val231</b:Tag>
    <b:SourceType>Book</b:SourceType>
    <b:Guid>{48255853-DCC9-49CB-A6C2-69E2446B9BF9}</b:Guid>
    <b:Author>
      <b:Author>
        <b:NameList>
          <b:Person>
            <b:Last>Vallejo</b:Last>
            <b:First>F</b:First>
          </b:Person>
        </b:NameList>
      </b:Author>
    </b:Author>
    <b:Title>Rueda verde Riobamba: Impulsando la economía circular y reduciendo la contaminación ambiental</b:Title>
    <b:Year>2023</b:Year>
    <b:Publisher>Pontificia Universidad Católica del Ecuador</b:Publisher>
    <b:DOI>https://repositorio.puce.edu.ec/server/api/core/bitstreams/b0ccec1f-270b-4334-ab8c-980eb70c8497/content</b:DOI>
    <b:RefOrder>19</b:RefOrder>
  </b:Source>
  <b:Source>
    <b:Tag>Ras20</b:Tag>
    <b:SourceType>Book</b:SourceType>
    <b:Guid>{238C6C7E-5C58-4F36-9092-AB1C8D56E28E}</b:Guid>
    <b:Title>La investigación cuantitativa en Linguística</b:Title>
    <b:Year>2020</b:Year>
    <b:City>Argentina</b:City>
    <b:Publisher>AKAL</b:Publisher>
    <b:Author>
      <b:Author>
        <b:NameList>
          <b:Person>
            <b:Last>Rasinger</b:Last>
            <b:First>S.</b:First>
          </b:Person>
        </b:NameList>
      </b:Author>
    </b:Author>
    <b:URL>https://books.google.es/books?hl=es&amp;lr=&amp;id=0h4EEAAAQBAJ&amp;oi=fnd&amp;pg=PA8&amp;dq=investigaci%C3%B3n+cuantitativa&amp;ots=8L0hZKz_Sa&amp;sig=4Kr1Az-hMXvuEWlqGMgjebghVkY#v=onepage&amp;q=investigaci%C3%B3n%20cuantitativa&amp;f=true</b:URL>
    <b:DOI>https://www.akal.com/libro/la-investigacion-cuantitativa-en-linguistica_35208/</b:DOI>
    <b:RefOrder>20</b:RefOrder>
  </b:Source>
  <b:Source>
    <b:Tag>MarcadorDePosición11</b:Tag>
    <b:SourceType>JournalArticle</b:SourceType>
    <b:Guid>{5DF5D05C-8322-4C95-81A3-2A4647E0B319}</b:Guid>
    <b:Title>Metodologías de investigación educativa (descriptivas, experimentales, participativas, y de investigación-acción)</b:Title>
    <b:JournalName>Recimundo. Vol. 4 Num 3.</b:JournalName>
    <b:Year>2020</b:Year>
    <b:Pages>15</b:Pages>
    <b:Author>
      <b:Author>
        <b:NameList>
          <b:Person>
            <b:Last>Guevara</b:Last>
            <b:First>G.</b:First>
          </b:Person>
          <b:Person>
            <b:Last>Verdesoto</b:Last>
            <b:First>A.</b:First>
          </b:Person>
          <b:Person>
            <b:Last>Castro</b:Last>
            <b:First>N.</b:First>
          </b:Person>
        </b:NameList>
      </b:Author>
    </b:Author>
    <b:Volume>4</b:Volume>
    <b:Issue>3</b:Issue>
    <b:DOI>https://www.recimundo.com/index.php/es/article/view/860</b:DOI>
    <b:RefOrder>21</b:RefOrder>
  </b:Source>
  <b:Source>
    <b:Tag>Muc20</b:Tag>
    <b:SourceType>JournalArticle</b:SourceType>
    <b:Guid>{3060B057-F405-4293-AFD4-19BE20838F68}</b:Guid>
    <b:Title>Evaluación de procedimientos empleados para determinar la población y muestra en trabajos de investigación de posgrado</b:Title>
    <b:Year>2020</b:Year>
    <b:JournalName>Revista Cientifica de Ciencias Sociales y Humanidades</b:JournalName>
    <b:Pages>15</b:Pages>
    <b:Author>
      <b:Author>
        <b:NameList>
          <b:Person>
            <b:Last>Mucha</b:Last>
            <b:First>L.</b:First>
          </b:Person>
          <b:Person>
            <b:Last>Chamorro</b:Last>
            <b:First>R.</b:First>
          </b:Person>
          <b:Person>
            <b:Last>Oseda</b:Last>
            <b:First>M.</b:First>
          </b:Person>
          <b:Person>
            <b:Last>Alania</b:Last>
            <b:First>R.</b:First>
          </b:Person>
        </b:NameList>
      </b:Author>
    </b:Author>
    <b:Volume>12</b:Volume>
    <b:Issue>1</b:Issue>
    <b:DOI>https://doi.org/10.37711/desafios.2021.12.1.253Filiación</b:DOI>
    <b:RefOrder>23</b:RefOrder>
  </b:Source>
  <b:Source>
    <b:Tag>Fer201</b:Tag>
    <b:SourceType>JournalArticle</b:SourceType>
    <b:Guid>{0580D25B-8408-4001-9B68-E2138C6D69A9}</b:Guid>
    <b:Title>La entrevista y encuesta ¿métodos o técnicas de indagación empírica?</b:Title>
    <b:Year>2020</b:Year>
    <b:DOI>https://revistas.ult.edu.cu/index.php/didascalia/article/view/992</b:DOI>
    <b:Author>
      <b:Author>
        <b:NameList>
          <b:Person>
            <b:Last>Feria</b:Last>
            <b:First>Hernán</b:First>
          </b:Person>
          <b:Person>
            <b:Last>Matilla</b:Last>
            <b:First>Margarita</b:First>
          </b:Person>
          <b:Person>
            <b:Last>Mantecón</b:Last>
            <b:First>Silverio</b:First>
          </b:Person>
        </b:NameList>
      </b:Author>
    </b:Author>
    <b:JournalName>Didasc@lia: Didáctica y Educación</b:JournalName>
    <b:Pages>18</b:Pages>
    <b:Volume>11</b:Volume>
    <b:Issue>3</b:Issue>
    <b:RefOrder>25</b:RefOrder>
  </b:Source>
  <b:Source>
    <b:Tag>MarcadorDePosición12</b:Tag>
    <b:SourceType>JournalArticle</b:SourceType>
    <b:Guid>{07D80D7D-1DBA-4E1F-A436-45A119ECA6B8}</b:Guid>
    <b:Title>Métodos científicos de indagación y de construcción del conocimiento</b:Title>
    <b:JournalName>Revista Escuela de Administración de Negocios, núm. 82</b:JournalName>
    <b:Year>2020</b:Year>
    <b:Pages>15</b:Pages>
    <b:Author>
      <b:Author>
        <b:NameList>
          <b:Person>
            <b:Last>Rodríguez</b:Last>
            <b:First>A.</b:First>
          </b:Person>
          <b:Person>
            <b:Last>Pérez</b:Last>
            <b:First>A.</b:First>
          </b:Person>
        </b:NameList>
      </b:Author>
    </b:Author>
    <b:Volume>12</b:Volume>
    <b:Issue>82</b:Issue>
    <b:DOI>https://www.redalyc.org/pdf/206/20652069006.pdf</b:DOI>
    <b:RefOrder>24</b:RefOrder>
  </b:Source>
  <b:Source>
    <b:Tag>Rob</b:Tag>
    <b:SourceType>JournalArticle</b:SourceType>
    <b:Guid>{516453EC-050F-4A51-929F-BB21424FC2B5}</b:Guid>
    <b:Author>
      <b:Author>
        <b:NameList>
          <b:Person>
            <b:Last>Robledo</b:Last>
            <b:First>Juana</b:First>
          </b:Person>
        </b:NameList>
      </b:Author>
    </b:Author>
    <b:Title>Tipos de investigación</b:Title>
    <b:Year>2020</b:Year>
    <b:JournalName>Investigación</b:JournalName>
    <b:Pages>23</b:Pages>
    <b:Volume>2</b:Volume>
    <b:Issue>2</b:Issue>
    <b:RefOrder>22</b:RefOrder>
  </b:Source>
  <b:Source>
    <b:Tag>Peñ10</b:Tag>
    <b:SourceType>JournalArticle</b:SourceType>
    <b:Guid>{56E81ECA-5341-4B21-BD64-5FDFEFBA353B}</b:Guid>
    <b:Author>
      <b:Author>
        <b:NameList>
          <b:Person>
            <b:Last>Peña</b:Last>
            <b:First>H.</b:First>
            <b:Middle>A. S.</b:Middle>
          </b:Person>
        </b:NameList>
      </b:Author>
    </b:Author>
    <b:Title>Gestión del talento humano. Gestión del talento humano.</b:Title>
    <b:JournalName>Https://www. academia. edu/download/38662879/libro-gestion-del-talento-humanochiavenato.</b:JournalName>
    <b:Year>2010</b:Year>
    <b:RefOrder>30</b:RefOrder>
  </b:Source>
  <b:Source>
    <b:Tag>Gab06</b:Tag>
    <b:SourceType>JournalArticle</b:SourceType>
    <b:Guid>{16BF7122-D164-4496-9407-715EFC643143}</b:Guid>
    <b:Author>
      <b:Author>
        <b:NameList>
          <b:Person>
            <b:Last>Gabriunas</b:Last>
            <b:First>I.</b:First>
            <b:Middle>L. O. P</b:Middle>
          </b:Person>
        </b:NameList>
      </b:Author>
    </b:Author>
    <b:Title>Competencias para el liderazgo gerencial. In Investigación en Administración en América Latina: Evolución y resultados </b:Title>
    <b:JournalName>Repositorio Universidad Nacional de Colombia.</b:JournalName>
    <b:Year>2006</b:Year>
    <b:RefOrder>31</b:RefOrder>
  </b:Source>
  <b:Source>
    <b:Tag>Lóp13</b:Tag>
    <b:SourceType>JournalArticle</b:SourceType>
    <b:Guid>{9B8EB53F-0C85-4F4C-8550-C8ABCB053810}</b:Guid>
    <b:Author>
      <b:Author>
        <b:NameList>
          <b:Person>
            <b:Last>López</b:Last>
            <b:First>J.</b:First>
          </b:Person>
        </b:NameList>
      </b:Author>
    </b:Author>
    <b:Title>Optimización multiobjetivo: aplicaciones a problemas del mundo real. </b:Title>
    <b:JournalName>Repositorio Universidad Nacional de la Plata.</b:JournalName>
    <b:Year>2013</b:Year>
    <b:RefOrder>32</b:RefOrder>
  </b:Source>
  <b:Source>
    <b:Tag>Oso10</b:Tag>
    <b:SourceType>JournalArticle</b:SourceType>
    <b:Guid>{C9F85ED1-F368-49C9-B22D-FD0D626177F3}</b:Guid>
    <b:Author>
      <b:Author>
        <b:NameList>
          <b:Person>
            <b:Last>Osorio</b:Last>
            <b:First>P.</b:First>
          </b:Person>
        </b:NameList>
      </b:Author>
    </b:Author>
    <b:Title>La edad mayor como producción sociocultural</b:Title>
    <b:JournalName>Revista Comunicación y medios</b:JournalName>
    <b:Year>2010</b:Year>
    <b:RefOrder>33</b:RefOrder>
  </b:Source>
  <b:Source>
    <b:Tag>Fra08</b:Tag>
    <b:SourceType>JournalArticle</b:SourceType>
    <b:Guid>{F197AEB4-3111-4B2F-A4B8-BE25D56E1742}</b:Guid>
    <b:Author>
      <b:Author>
        <b:NameList>
          <b:Person>
            <b:Last>Frago</b:Last>
            <b:First>A.</b:First>
            <b:Middle>V.</b:Middle>
          </b:Person>
        </b:NameList>
      </b:Author>
    </b:Author>
    <b:Title>La escuela y la escolaridad como objetos históricos</b:Title>
    <b:JournalName>História da Educação</b:JournalName>
    <b:Year>2008</b:Year>
    <b:RefOrder>34</b:RefOrder>
  </b:Source>
  <b:Source>
    <b:Tag>Lag96</b:Tag>
    <b:SourceType>JournalArticle</b:SourceType>
    <b:Guid>{54D578F0-43A8-4DDA-8F36-D87D7B870220}</b:Guid>
    <b:Author>
      <b:Author>
        <b:NameList>
          <b:Person>
            <b:Last>Lagarde</b:Last>
            <b:First>M.</b:First>
          </b:Person>
        </b:NameList>
      </b:Author>
    </b:Author>
    <b:Title>La multidimensionalidad de la categoría género y del feminismo</b:Title>
    <b:JournalName>Metodología para los estudios de género</b:JournalName>
    <b:Year>1996</b:Year>
    <b:RefOrder>35</b:RefOrder>
  </b:Source>
  <b:Source xmlns:b="http://schemas.openxmlformats.org/officeDocument/2006/bibliography">
    <b:Tag>Gua16</b:Tag>
    <b:SourceType>JournalArticle</b:SourceType>
    <b:Guid>{C15AC8A3-3A35-4E69-B509-628D1AEC0A82}</b:Guid>
    <b:Title>Antigüedad en el empleo y rotación laboral en América Latina.</b:Title>
    <b:Year>2016</b:Year>
    <b:Author>
      <b:Author>
        <b:NameList>
          <b:Person>
            <b:Last>Gualavisi</b:Last>
            <b:First>M.</b:First>
          </b:Person>
          <b:Person>
            <b:Last>Oliveri</b:Last>
            <b:Middle>L.</b:Middle>
            <b:First>M.</b:First>
          </b:Person>
        </b:NameList>
      </b:Author>
    </b:Author>
    <b:RefOrder>36</b:RefOrder>
  </b:Source>
  <b:Source>
    <b:Tag>Ram15</b:Tag>
    <b:SourceType>JournalArticle</b:SourceType>
    <b:Guid>{5BD45FBF-893C-403B-8BE6-431CBD48DF39}</b:Guid>
    <b:Author>
      <b:Author>
        <b:NameList>
          <b:Person>
            <b:Last>Ramos</b:Last>
            <b:First>C.</b:First>
            <b:Middle>A.</b:Middle>
          </b:Person>
        </b:NameList>
      </b:Author>
    </b:Author>
    <b:Title>Los paradigmas de la investigación científica. </b:Title>
    <b:JournalName>Avances en psicología</b:JournalName>
    <b:Year>2015</b:Year>
    <b:RefOrder>27</b:RefOrder>
  </b:Source>
  <b:Source>
    <b:Tag>Cas031</b:Tag>
    <b:SourceType>JournalArticle</b:SourceType>
    <b:Guid>{EC24CB1F-CDFF-4771-BE31-61AC7453D8CE}</b:Guid>
    <b:Title>Tipos de muestreo.</b:Title>
    <b:JournalName>Rev. Epidem. Med. Prev</b:JournalName>
    <b:Year>2003</b:Year>
    <b:Author>
      <b:Author>
        <b:NameList>
          <b:Person>
            <b:Last>Casal</b:Last>
            <b:First>J.</b:First>
          </b:Person>
          <b:Person>
            <b:Last>Mateu</b:Last>
            <b:First>E</b:First>
          </b:Person>
        </b:NameList>
      </b:Author>
    </b:Author>
    <b:RefOrder>28</b:RefOrder>
  </b:Source>
  <b:Source>
    <b:Tag>Góm08</b:Tag>
    <b:SourceType>JournalArticle</b:SourceType>
    <b:Guid>{16065B99-2D43-4DF7-A98C-6907E77D7934}</b:Guid>
    <b:Author>
      <b:Author>
        <b:NameList>
          <b:Person>
            <b:Last>Gómez</b:Last>
            <b:First>O.</b:First>
            <b:Middle>T.</b:Middle>
          </b:Person>
        </b:NameList>
      </b:Author>
    </b:Author>
    <b:Title>Una aplicación de la prueba chi cuadrado con SPSS. </b:Title>
    <b:JournalName>Industrial data</b:JournalName>
    <b:Year>2008</b:Year>
    <b:RefOrder>29</b:RefOrder>
  </b:Source>
  <b:Source>
    <b:Tag>Agu00</b:Tag>
    <b:SourceType>JournalArticle</b:SourceType>
    <b:Guid>{453E1BA4-4A9D-4863-A365-7BB7AF1E832F}</b:Guid>
    <b:LCID>es-HN</b:LCID>
    <b:Author>
      <b:Author>
        <b:NameList>
          <b:Person>
            <b:Last>Aguirre</b:Last>
            <b:First>L</b:First>
          </b:Person>
          <b:Person>
            <b:Last>Odriozola</b:Last>
            <b:First>A</b:First>
          </b:Person>
        </b:NameList>
      </b:Author>
    </b:Author>
    <b:Title>La alternativa humanista para la educación superior del siglo XXI. Sinéctica</b:Title>
    <b:JournalName>Revista Electrónica de Educación,</b:JournalName>
    <b:Year>(2000)</b:Year>
    <b:Pages>(16), 45-52.</b:Pages>
    <b:RefOrder>37</b:RefOrder>
  </b:Source>
  <b:Source>
    <b:Tag>Cap00</b:Tag>
    <b:SourceType>JournalArticle</b:SourceType>
    <b:Guid>{FA7303EF-4BCE-473A-8131-8747B86039C5}</b:Guid>
    <b:Title>Un enfoque impulsado por el mercado para retener el talento </b:Title>
    <b:Year>2000</b:Year>
    <b:Pages>103 – 111</b:Pages>
    <b:Author>
      <b:Author>
        <b:NameList>
          <b:Person>
            <b:Last>Cappelli</b:Last>
            <b:First>Peter</b:First>
          </b:Person>
        </b:NameList>
      </b:Author>
    </b:Author>
    <b:JournalName>Harvard Business Review</b:JournalName>
    <b:RefOrder>1</b:RefOrder>
  </b:Source>
  <b:Source>
    <b:Tag>Chi11</b:Tag>
    <b:SourceType>Book</b:SourceType>
    <b:Guid>{95CE868D-7717-4F7F-A077-62EC829C3E3B}</b:Guid>
    <b:Title>Administración de recursos humanos: El capital humano de las organizaciones.</b:Title>
    <b:JournalName>McGraw-Hill/Interamericana Editores.</b:JournalName>
    <b:Year>2011</b:Year>
    <b:Pages>3,4</b:Pages>
    <b:Author>
      <b:Author>
        <b:NameList>
          <b:Person>
            <b:Last>Chiavenato</b:Last>
            <b:First>Idalberto</b:First>
          </b:Person>
        </b:NameList>
      </b:Author>
    </b:Author>
    <b:City>Mexico </b:City>
    <b:Publisher>Elsevier Editora Ltda</b:Publisher>
    <b:RefOrder>38</b:RefOrder>
  </b:Source>
  <b:Source>
    <b:Tag>Ore14</b:Tag>
    <b:SourceType>JournalArticle</b:SourceType>
    <b:Guid>{72C5A190-4486-41D3-9C0C-CC85425BD520}</b:Guid>
    <b:Title>Influencia del liderazgo sobre el clima organizacional. Suma de negocios</b:Title>
    <b:JournalName>Suma de negocios</b:JournalName>
    <b:Year>2014</b:Year>
    <b:Author>
      <b:Author>
        <b:NameList>
          <b:Person>
            <b:Last>Orellana</b:Last>
            <b:Middle>J.</b:Middle>
            <b:First>B.</b:First>
          </b:Person>
          <b:Person>
            <b:Last>Portalanza</b:Last>
            <b:Middle>A.</b:Middle>
            <b:First>C.</b:First>
          </b:Person>
        </b:NameList>
      </b:Author>
    </b:Author>
    <b:LCID>es-HN</b:LCID>
    <b:RefOrder>20</b:RefOrder>
  </b:Source>
  <b:Source>
    <b:Tag>Vil21</b:Tag>
    <b:SourceType>JournalArticle</b:SourceType>
    <b:Guid>{A6AD8AF7-D1D8-4CA4-870A-3CB8006C79DA}</b:Guid>
    <b:Title>Fidelización del personal que elabora en depósitos SA DEPSA-Lima 2017</b:Title>
    <b:Year>2021</b:Year>
    <b:Author>
      <b:Author>
        <b:NameList>
          <b:Person>
            <b:Last>Villena </b:Last>
            <b:Middle>D. N. </b:Middle>
            <b:First>Navarro</b:First>
          </b:Person>
        </b:NameList>
      </b:Author>
    </b:Author>
    <b:LCID>es-HN</b:LCID>
    <b:RefOrder>39</b:RefOrder>
  </b:Source>
  <b:Source>
    <b:Tag>Cha18</b:Tag>
    <b:SourceType>JournalArticle</b:SourceType>
    <b:Guid>{92513433-6545-42FF-8DC6-3B37A8128315}</b:Guid>
    <b:Title>La gestión del talento humano como estrategia empresarial</b:Title>
    <b:Year>2018</b:Year>
    <b:Author>
      <b:Author>
        <b:NameList>
          <b:Person>
            <b:Last>Chavéz, Toledo</b:Last>
            <b:Middle>A.</b:Middle>
            <b:First>L.</b:First>
          </b:Person>
        </b:NameList>
      </b:Author>
    </b:Author>
    <b:RefOrder>40</b:RefOrder>
  </b:Source>
  <b:Source>
    <b:Tag>Mir16</b:Tag>
    <b:SourceType>JournalArticle</b:SourceType>
    <b:Guid>{61E06DCC-CA0A-46F3-8D51-9FD8540810EA}</b:Guid>
    <b:Title>Motivación del talento humano: La clave del éxito de una empresa</b:Title>
    <b:JournalName>Revista Investigación y Negocios</b:JournalName>
    <b:Year>2016</b:Year>
    <b:Author>
      <b:Author>
        <b:NameList>
          <b:Person>
            <b:Last>Miranda</b:Last>
            <b:Middle>D</b:Middle>
            <b:First>Hoyes</b:First>
          </b:Person>
        </b:NameList>
      </b:Author>
    </b:Author>
    <b:RefOrder>2</b:RefOrder>
  </b:Source>
  <b:Source>
    <b:Tag>Fag09</b:Tag>
    <b:SourceType>JournalArticle</b:SourceType>
    <b:Guid>{554CABCE-FAD8-4E06-B887-AD49529A4A5C}</b:Guid>
    <b:Title>Human capital, graduate migration and innovation in British regions.</b:Title>
    <b:JournalName>Cambridge Journal of Economics</b:JournalName>
    <b:Year>2009</b:Year>
    <b:Author>
      <b:Author>
        <b:NameList>
          <b:Person>
            <b:Last>Faggian</b:Last>
            <b:First>A.</b:First>
          </b:Person>
          <b:Person>
            <b:Last>McCann</b:Last>
            <b:First>P.</b:First>
          </b:Person>
        </b:NameList>
      </b:Author>
    </b:Author>
    <b:RefOrder>3</b:RefOrder>
  </b:Source>
  <b:Source>
    <b:Tag>Day041</b:Tag>
    <b:SourceType>JournalArticle</b:SourceType>
    <b:Guid>{824DA665-C276-431E-ADA6-52ED5E08E804}</b:Guid>
    <b:Title>Leadership capacity in teams.</b:Title>
    <b:JournalName>The Leadership Quarterly</b:JournalName>
    <b:Year>2004</b:Year>
    <b:Author>
      <b:Author>
        <b:NameList>
          <b:Person>
            <b:Last>Day</b:Last>
            <b:First>D.</b:First>
            <b:Middle>V.</b:Middle>
          </b:Person>
          <b:Person>
            <b:Last>Gron</b:Last>
            <b:First>P.</b:First>
          </b:Person>
          <b:Person>
            <b:Last>Salas</b:Last>
            <b:First>E.</b:First>
          </b:Person>
        </b:NameList>
      </b:Author>
    </b:Author>
    <b:RefOrder>41</b:RefOrder>
  </b:Source>
  <b:Source>
    <b:Tag>Cap18</b:Tag>
    <b:SourceType>JournalArticle</b:SourceType>
    <b:Guid>{1432C80A-6AF9-48AB-B77A-7520C10E7FBD}</b:Guid>
    <b:Author>
      <b:Author>
        <b:NameList>
          <b:Person>
            <b:Last>Capa</b:Last>
            <b:Middle>B.</b:Middle>
            <b:First>L.</b:First>
          </b:Person>
          <b:Person>
            <b:Last> Benítez </b:Last>
            <b:Middle>M.</b:Middle>
            <b:First>R.</b:First>
          </b:Person>
          <b:Person>
            <b:Last>Capa</b:Last>
            <b:Middle>D.</b:Middle>
            <b:First>X.</b:First>
          </b:Person>
        </b:NameList>
      </b:Author>
    </b:Author>
    <b:Title>El liderazgo como fuente de ventaja competitiva para las organizaciones</b:Title>
    <b:JournalName>Revista Universidad y Sociedad</b:JournalName>
    <b:Year>2018</b:Year>
    <b:RefOrder>42</b:RefOrder>
  </b:Source>
  <b:Source>
    <b:Tag>Gil18</b:Tag>
    <b:SourceType>JournalArticle</b:SourceType>
    <b:Guid>{50DD5D10-E4A4-43FD-869C-BED0EDD5049F}</b:Guid>
    <b:Title>Endomarketing: una herramienta de integración del cliente interno con la estrategia organizacional.</b:Title>
    <b:JournalName>Revista Hojas y Hablas</b:JournalName>
    <b:Year>2018</b:Year>
    <b:Author>
      <b:Author>
        <b:NameList>
          <b:Person>
            <b:Last>Gil</b:Last>
            <b:Middle>V.</b:Middle>
            <b:First>C.</b:First>
          </b:Person>
          <b:Person>
            <b:Last>Ospina</b:Last>
            <b:Middle>G.</b:Middle>
            <b:First>N.</b:First>
          </b:Person>
        </b:NameList>
      </b:Author>
    </b:Author>
    <b:RefOrder>43</b:RefOrder>
  </b:Source>
  <b:Source>
    <b:Tag>MarcadorDePosición13</b:Tag>
    <b:SourceType>JournalArticle</b:SourceType>
    <b:Guid>{E06C6137-A07A-4910-A543-30DE5DFDFB3E}</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44</b:RefOrder>
  </b:Source>
  <b:Source>
    <b:Tag>DeF22</b:Tag>
    <b:SourceType>JournalArticle</b:SourceType>
    <b:Guid>{73368A4B-1DD2-46BE-BE2E-A2B309CDE138}</b:Guid>
    <b:Title>El enfoque de sistemas en la gestión del talento humano</b:Title>
    <b:JournalName>Revista FAECO sapiens</b:JournalName>
    <b:Year>2022</b:Year>
    <b:Author>
      <b:Author>
        <b:NameList>
          <b:Person>
            <b:Last>De Franco</b:Last>
            <b:Middle>B.</b:Middle>
            <b:First>Y.</b:First>
          </b:Person>
          <b:Person>
            <b:Last>Vergara</b:Last>
            <b:Middle>T.</b:Middle>
            <b:First>E.</b:First>
          </b:Person>
        </b:NameList>
      </b:Author>
    </b:Author>
    <b:RefOrder>45</b:RefOrder>
  </b:Source>
  <b:Source>
    <b:Tag>DeE22</b:Tag>
    <b:SourceType>JournalArticle</b:SourceType>
    <b:Guid>{07123FB8-9754-48B8-9CD6-1A5570BAEA24}</b:Guid>
    <b:Title>Evaluación del desempeño percibido a través del modelo de gestión por competencias en las empresas hospitalarias en Panamá</b:Title>
    <b:JournalName>Revista FAECO sapiens</b:JournalName>
    <b:Year>2022</b:Year>
    <b:Author>
      <b:Author>
        <b:NameList>
          <b:Person>
            <b:Last>De Estrada</b:Last>
            <b:Middle>A.</b:Middle>
            <b:First>L.</b:First>
          </b:Person>
        </b:NameList>
      </b:Author>
    </b:Author>
    <b:RefOrder>46</b:RefOrder>
  </b:Source>
  <b:Source>
    <b:Tag>Lie20</b:Tag>
    <b:SourceType>JournalArticle</b:SourceType>
    <b:Guid>{E6216456-75CB-4CBA-A009-28F7FFD0835F}</b:Guid>
    <b:Title>Análisis de la cultura organizacional enfocado en la identidad y estructura para la empresa Cellstorepanamá</b:Title>
    <b:JournalName>Gente Clave</b:JournalName>
    <b:Year>2020</b:Year>
    <b:Author>
      <b:Author>
        <b:NameList>
          <b:Person>
            <b:Last>Liendo</b:Last>
            <b:Middle>F.</b:Middle>
            <b:First>M.</b:First>
          </b:Person>
          <b:Person>
            <b:Last>Ariza</b:Last>
            <b:Middle>R.</b:Middle>
            <b:First>J.</b:First>
          </b:Person>
        </b:NameList>
      </b:Author>
    </b:Author>
    <b:RefOrder>47</b:RefOrder>
  </b:Source>
  <b:Source>
    <b:Tag>Och13</b:Tag>
    <b:SourceType>JournalArticle</b:SourceType>
    <b:Guid>{C2F0316A-DEDA-41FD-AFC0-7C34A4BB3411}</b:Guid>
    <b:Title>Finanzas para una economía humana sostenible: hacia la banca ética.</b:Title>
    <b:Year>2013</b:Year>
    <b:Author>
      <b:Author>
        <b:NameList>
          <b:Person>
            <b:Last>Ochoa</b:Last>
            <b:First>J.</b:First>
          </b:Person>
        </b:NameList>
      </b:Author>
    </b:Author>
    <b:RefOrder>4</b:RefOrder>
  </b:Source>
  <b:Source>
    <b:Tag>Alo14</b:Tag>
    <b:SourceType>JournalArticle</b:SourceType>
    <b:Guid>{999F98E2-6BBC-4602-B69C-6224AFB76EB2}</b:Guid>
    <b:Author>
      <b:Author>
        <b:NameList>
          <b:Person>
            <b:Last>Alonso</b:Last>
            <b:First>A.</b:First>
          </b:Person>
          <b:Person>
            <b:Last>GarcíaMuina</b:Last>
            <b:First>E.</b:First>
            <b:Middle>F.</b:Middle>
          </b:Person>
        </b:NameList>
      </b:Author>
    </b:Author>
    <b:Title>La gestión del talento: Líneas de trabajo y procesos clave</b:Title>
    <b:JournalName>Intangible capital</b:JournalName>
    <b:Year>2014</b:Year>
    <b:RefOrder>48</b:RefOrder>
  </b:Source>
  <b:Source>
    <b:Tag>Gon09</b:Tag>
    <b:SourceType>JournalArticle</b:SourceType>
    <b:Guid>{D9225197-0188-44F2-B2FB-A43DED5FA7EE}</b:Guid>
    <b:Title>La gestión del talento en la empresa industrial española.</b:Title>
    <b:JournalName>Economía industrial,</b:JournalName>
    <b:Year>2009</b:Year>
    <b:Author>
      <b:Author>
        <b:NameList>
          <b:Person>
            <b:Last>González </b:Last>
            <b:First>T.</b:First>
          </b:Person>
          <b:Person>
            <b:Last> Martínez </b:Last>
            <b:First>C.</b:First>
          </b:Person>
          <b:Person>
            <b:Last>Pardo</b:Last>
            <b:First>M.</b:First>
          </b:Person>
        </b:NameList>
      </b:Author>
    </b:Author>
    <b:RefOrder>49</b:RefOrder>
  </b:Source>
  <b:Source>
    <b:Tag>Con21</b:Tag>
    <b:SourceType>JournalArticle</b:SourceType>
    <b:Guid>{518F01F2-C136-4084-A894-E26496921394}</b:Guid>
    <b:Title>Gestión del talento humano para la generación de valor: reflexiones y aportes</b:Title>
    <b:JournalName>Consensus-Santiago</b:JournalName>
    <b:Year>2021</b:Year>
    <b:Author>
      <b:Author>
        <b:NameList>
          <b:Person>
            <b:Last>Conrado</b:Last>
            <b:First>L.</b:First>
            <b:Middle>N.</b:Middle>
          </b:Person>
          <b:Person>
            <b:Last>Ruiz</b:Last>
            <b:First>M.</b:First>
            <b:Middle>S.</b:Middle>
          </b:Person>
          <b:Person>
            <b:Last>Molina</b:Last>
            <b:First>I.</b:First>
            <b:Middle>R.</b:Middle>
          </b:Person>
          <b:Person>
            <b:Last>Bracho</b:Last>
            <b:First>R.</b:First>
            <b:Middle>J.</b:Middle>
          </b:Person>
        </b:NameList>
      </b:Author>
    </b:Author>
    <b:RefOrder>50</b:RefOrder>
  </b:Source>
  <b:Source>
    <b:Tag>Ver19</b:Tag>
    <b:SourceType>JournalArticle</b:SourceType>
    <b:Guid>{D3CA6E38-F4EC-4F5B-99A5-C22128E5E9FA}</b:Guid>
    <b:Title>Modelo para la gestión del talento humano en las pymes del sector servicios de Barranquilla</b:Title>
    <b:JournalName>Colombia. Innovar</b:JournalName>
    <b:Year>2019</b:Year>
    <b:Author>
      <b:Author>
        <b:NameList>
          <b:Person>
            <b:Last>Vera</b:Last>
            <b:First>A.</b:First>
          </b:Person>
          <b:Person>
            <b:Last>Blanco</b:Last>
            <b:Middle>B.</b:Middle>
            <b:First>A.</b:First>
          </b:Person>
        </b:NameList>
      </b:Author>
    </b:Author>
    <b:RefOrder>51</b:RefOrder>
  </b:Source>
  <b:Source>
    <b:Tag>Bor19</b:Tag>
    <b:SourceType>JournalArticle</b:SourceType>
    <b:Guid>{A2124160-B472-47F5-BC29-7BE002BED6F6}</b:Guid>
    <b:Title>Procesos de gestión del talento humano en el sector educativo gerencial de Colombia.</b:Title>
    <b:JournalName>Revista Arbitrada Interdisciplinaria Koinonía</b:JournalName>
    <b:Year>2019</b:Year>
    <b:Author>
      <b:Author>
        <b:NameList>
          <b:Person>
            <b:Last>Borrero</b:Last>
            <b:First>R.</b:First>
          </b:Person>
        </b:NameList>
      </b:Author>
    </b:Author>
    <b:RefOrder>52</b:RefOrder>
  </b:Source>
  <b:Source>
    <b:Tag>Cha14</b:Tag>
    <b:SourceType>JournalArticle</b:SourceType>
    <b:Guid>{D2E13D89-1CF3-49E1-B9A7-A51E8BDA2320}</b:Guid>
    <b:Title>Competencias específicas del trabajador social en la gestión del talento humano</b:Title>
    <b:JournalName>Tendencias y retos</b:JournalName>
    <b:Year>2014</b:Year>
    <b:Author>
      <b:Author>
        <b:NameList>
          <b:Person>
            <b:Last>Chaparro</b:Last>
            <b:Middle>Y.</b:Middle>
            <b:First>M.</b:First>
          </b:Person>
          <b:Person>
            <b:Last>Urra </b:Last>
            <b:First>M.</b:First>
          </b:Person>
        </b:NameList>
      </b:Author>
    </b:Author>
    <b:RefOrder>53</b:RefOrder>
  </b:Source>
  <b:Source>
    <b:Tag>Mor20</b:Tag>
    <b:SourceType>JournalArticle</b:SourceType>
    <b:Guid>{39AA74DB-6600-4F08-A687-59F92FF5E81E}</b:Guid>
    <b:Title>Gestión del talento humano en el desempeño laboral</b:Title>
    <b:JournalName>Ciencia Latina Revista Científica Multidisciplinar</b:JournalName>
    <b:Year>2020</b:Year>
    <b:Author>
      <b:Author>
        <b:NameList>
          <b:Person>
            <b:Last>Mori</b:Last>
            <b:Middle>C.</b:Middle>
            <b:First>O.</b:First>
          </b:Person>
          <b:Person>
            <b:Last>Bardales</b:Last>
            <b:Middle>D.</b:Middle>
            <b:First>M.</b:First>
          </b:Person>
        </b:NameList>
      </b:Author>
    </b:Author>
    <b:RefOrder>54</b:RefOrder>
  </b:Source>
  <b:Source>
    <b:Tag>Cas21</b:Tag>
    <b:SourceType>JournalArticle</b:SourceType>
    <b:Guid>{496A2D60-881E-490A-ABC7-42A1C383AE9D}</b:Guid>
    <b:Author>
      <b:Author>
        <b:NameList>
          <b:Person>
            <b:Last>Castro</b:Last>
            <b:First>F.</b:First>
            <b:Middle>G.</b:Middle>
          </b:Person>
        </b:NameList>
      </b:Author>
    </b:Author>
    <b:Title> La gestión de talento humano y su influencia en el desempeño laboral para el éxito de las empresas. </b:Title>
    <b:JournalName>Polo del Conocimiento: Revista científico-profesional</b:JournalName>
    <b:Year>2021</b:Year>
    <b:RefOrder>55</b:RefOrder>
  </b:Source>
  <b:Source>
    <b:Tag>Flo21</b:Tag>
    <b:SourceType>JournalArticle</b:SourceType>
    <b:Guid>{6D4472D1-494C-43DA-BDEC-FA1058055400}</b:Guid>
    <b:Title>Gestión de talento humano y satisfacción laboral en bancos de Guayaquil.</b:Title>
    <b:JournalName>Journal of the Academy</b:JournalName>
    <b:Year>2021</b:Year>
    <b:Author>
      <b:Author>
        <b:NameList>
          <b:Person>
            <b:Last>Floril</b:Last>
            <b:Middle>P.</b:Middle>
            <b:First>R.</b:First>
          </b:Person>
          <b:Person>
            <b:Last>Villegas</b:Last>
            <b:Middle>B.</b:Middle>
            <b:First>J.</b:First>
          </b:Person>
        </b:NameList>
      </b:Author>
    </b:Author>
    <b:RefOrder>56</b:RefOrder>
  </b:Source>
  <b:Source>
    <b:Tag>Pic14</b:Tag>
    <b:SourceType>JournalArticle</b:SourceType>
    <b:Guid>{CF2C3DEA-D51C-450F-A317-C9560B7A3D05}</b:Guid>
    <b:Title>Endomarketing: Decisión estratégica efectiva para vincular y aprovechar los recursos más importantes agregar valor y sacar lo mejor de las organizaciones a la luz pública</b:Title>
    <b:JournalName>Prisma Tecnológico</b:JournalName>
    <b:Year>2014</b:Year>
    <b:Author>
      <b:Author>
        <b:NameList>
          <b:Person>
            <b:Last>Picota</b:Last>
            <b:First>F.</b:First>
          </b:Person>
          <b:Person>
            <b:Last>Pinzón</b:Last>
            <b:First>E.</b:First>
          </b:Person>
        </b:NameList>
      </b:Author>
    </b:Author>
    <b:RefOrder>57</b:RefOrder>
  </b:Source>
  <b:Source>
    <b:Tag>Día21</b:Tag>
    <b:SourceType>JournalArticle</b:SourceType>
    <b:Guid>{E306E9D1-4410-4F15-83E6-2308950915E8}</b:Guid>
    <b:Title>Propuesta de un programa psicolaboral, para el afrontamiento de los factores de riesgo psicosocial y fortalecimiento del bienestar laboral de los agentes de la Policiales</b:Title>
    <b:JournalName>Repositorio Universidad San Salvador</b:JournalName>
    <b:Year>2021</b:Year>
    <b:Author>
      <b:Author>
        <b:NameList>
          <b:Person>
            <b:Last>Díaz</b:Last>
            <b:First>M.</b:First>
            <b:Middle>R.</b:Middle>
          </b:Person>
          <b:Person>
            <b:Last>Escobar</b:Last>
            <b:First>V.</b:First>
            <b:Middle>L.</b:Middle>
          </b:Person>
          <b:Person>
            <b:Last>Ramírez</b:Last>
            <b:First>F.</b:First>
            <b:Middle>V.</b:Middle>
          </b:Person>
        </b:NameList>
      </b:Author>
    </b:Author>
    <b:RefOrder>58</b:RefOrder>
  </b:Source>
  <b:Source>
    <b:Tag>Ave11</b:Tag>
    <b:SourceType>JournalArticle</b:SourceType>
    <b:Guid>{4ABB4A65-4262-4317-A64E-91515E73756D}</b:Guid>
    <b:Title>Programa de higiene y seguridad ocupacional para proteger el bienestar laboral de los empleados administrativos y técnicos de la Alcaldía Municipal de Ahuachapán</b:Title>
    <b:JournalName>Repositorio Universidad de San Salvador</b:JournalName>
    <b:Year>2011</b:Year>
    <b:Author>
      <b:Author>
        <b:NameList>
          <b:Person>
            <b:Last>Avendaño </b:Last>
            <b:Middle>A.</b:Middle>
            <b:First>O.</b:First>
          </b:Person>
          <b:Person>
            <b:Last>Estupinián </b:Last>
            <b:First>V.</b:First>
          </b:Person>
        </b:NameList>
      </b:Author>
    </b:Author>
    <b:RefOrder>59</b:RefOrder>
  </b:Source>
  <b:Source>
    <b:Tag>And14</b:Tag>
    <b:SourceType>JournalArticle</b:SourceType>
    <b:Guid>{DFFE72D4-1B82-4BCD-8287-77C3A2E9B0F0}</b:Guid>
    <b:Title>Plan de incentivos para reducir el estrés laboral en los trabajadores de la empresa productos alimenticios Diana SA de CV distribuidora San Miguel</b:Title>
    <b:JournalName>Repositorio Universidad San Salvador</b:JournalName>
    <b:Year>2014</b:Year>
    <b:Author>
      <b:Author>
        <b:NameList>
          <b:Person>
            <b:Last>Andrade Ponce</b:Last>
            <b:Middle>Y.</b:Middle>
            <b:First>V.</b:First>
          </b:Person>
          <b:Person>
            <b:Last>Funes</b:Last>
            <b:Middle>M.</b:Middle>
            <b:First>K.</b:First>
          </b:Person>
          <b:Person>
            <b:Last>Ibarra</b:Last>
            <b:Middle>L.</b:Middle>
            <b:First>C.</b:First>
          </b:Person>
        </b:NameList>
      </b:Author>
    </b:Author>
    <b:RefOrder>60</b:RefOrder>
  </b:Source>
  <b:Source>
    <b:Tag>Vil04</b:Tag>
    <b:SourceType>JournalArticle</b:SourceType>
    <b:Guid>{70FA6D16-B663-43EA-BE89-BBC21E69C0DF}</b:Guid>
    <b:Author>
      <b:Author>
        <b:NameList>
          <b:Person>
            <b:Last>Vilalobos Gutierrez</b:Last>
            <b:First>J.</b:First>
            <b:Middle>P.</b:Middle>
          </b:Person>
        </b:NameList>
      </b:Author>
    </b:Author>
    <b:Title>Propuesta de incentivos financieros para los agentes que trabajan en las multinacionales de Costa Rica.</b:Title>
    <b:Year>2004</b:Year>
    <b:RefOrder>61</b:RefOrder>
  </b:Source>
  <b:Source>
    <b:Tag>Leó16</b:Tag>
    <b:SourceType>JournalArticle</b:SourceType>
    <b:Guid>{269CE13F-2F47-4323-BF32-4EA818A5ABDA}</b:Guid>
    <b:Title>Elaboración de Plan de Retención para el personal de Conelectricas RL</b:Title>
    <b:Year>2016</b:Year>
    <b:Author>
      <b:Author>
        <b:NameList>
          <b:Person>
            <b:Last>León</b:Last>
            <b:First>A.</b:First>
          </b:Person>
          <b:Person>
            <b:Last>Gómez</b:Last>
            <b:First>B.</b:First>
          </b:Person>
          <b:Person>
            <b:Last>Madrigal</b:Last>
            <b:Middle>F.</b:Middle>
            <b:First>M.</b:First>
          </b:Person>
        </b:NameList>
      </b:Author>
    </b:Author>
    <b:RefOrder>62</b:RefOrder>
  </b:Source>
  <b:Source>
    <b:Tag>Tor23</b:Tag>
    <b:SourceType>JournalArticle</b:SourceType>
    <b:Guid>{A5797BCD-E495-4763-9E08-78CDCE9A5607}</b:Guid>
    <b:Author>
      <b:Author>
        <b:NameList>
          <b:Person>
            <b:Last>Torres Aguilar</b:Last>
            <b:First>J.</b:First>
            <b:Middle>R</b:Middle>
          </b:Person>
        </b:NameList>
      </b:Author>
    </b:Author>
    <b:Title>Diseño de investigación e implementación de un Plan de Salud y Seguridad Ocupacional para la disminución de incidentes laborales en la Litografía SIMER</b:Title>
    <b:JournalName>Repositorio Universidad San Carlos Guatemala</b:JournalName>
    <b:Year>2023</b:Year>
    <b:RefOrder>63</b:RefOrder>
  </b:Source>
  <b:Source>
    <b:Tag>Cha23</b:Tag>
    <b:SourceType>JournalArticle</b:SourceType>
    <b:Guid>{25325003-E001-426C-83AB-60E535D8BBDE}</b:Guid>
    <b:Author>
      <b:Author>
        <b:NameList>
          <b:Person>
            <b:Last>Chavac Toj</b:Last>
            <b:First>O.</b:First>
            <b:Middle>E.</b:Middle>
          </b:Person>
        </b:NameList>
      </b:Author>
    </b:Author>
    <b:Title>Impacto del plan de prevención de riesgos laborales en la productividad de la empresa DHL</b:Title>
    <b:JournalName>Repositorio Universidad de San Carlos de Guatemala</b:JournalName>
    <b:Year>2023</b:Year>
    <b:RefOrder>64</b:RefOrder>
  </b:Source>
  <b:Source>
    <b:Tag>Riv05</b:Tag>
    <b:SourceType>JournalArticle</b:SourceType>
    <b:Guid>{6D8709BB-A17A-4896-9025-C19708710236}</b:Guid>
    <b:Author>
      <b:Author>
        <b:NameList>
          <b:Person>
            <b:Last>Rivas</b:Last>
            <b:First>J.</b:First>
            <b:Middle>E.</b:Middle>
          </b:Person>
        </b:NameList>
      </b:Author>
    </b:Author>
    <b:Title>Incentivos Laborales y el desempeño del personal de los Call Center de grupos financieros. </b:Title>
    <b:JournalName>Repositorio Universidad Rafael Landívar, Guatemala.</b:JournalName>
    <b:Year>2005</b:Year>
    <b:RefOrder>65</b:RefOrder>
  </b:Source>
  <b:Source>
    <b:Tag>Vás17</b:Tag>
    <b:SourceType>JournalArticle</b:SourceType>
    <b:Guid>{B23AEFF6-8A0B-489A-9A76-83F555D14572}</b:Guid>
    <b:Title>Plan de Endomarketing corporativo Loto Honduras</b:Title>
    <b:JournalName>Repositorio Universidad Tecnológica Centroamericana UNITEC</b:JournalName>
    <b:Year>2017</b:Year>
    <b:Author>
      <b:Author>
        <b:NameList>
          <b:Person>
            <b:Last>Vásquez</b:Last>
            <b:Middle>T.</b:Middle>
            <b:First>F.</b:First>
          </b:Person>
          <b:Person>
            <b:Last>Velásquez</b:Last>
            <b:Middle>I.</b:Middle>
            <b:First>E.</b:First>
          </b:Person>
        </b:NameList>
      </b:Author>
    </b:Author>
    <b:RefOrder>66</b:RefOrder>
  </b:Source>
  <b:Source>
    <b:Tag>Sán23</b:Tag>
    <b:SourceType>JournalArticle</b:SourceType>
    <b:Guid>{56BD60B1-F464-4EAB-AC98-52CE9B2D8690}</b:Guid>
    <b:Title>Propuesta para el mejoramiento del clima organizacional para el personal de Students Helping Honduras</b:Title>
    <b:JournalName>Repositorio Universidad Tecnologica de Honduras (Unitec)</b:JournalName>
    <b:Year>2023</b:Year>
    <b:Author>
      <b:Author>
        <b:NameList>
          <b:Person>
            <b:Last>Sánchez</b:Last>
            <b:Middle>A</b:Middle>
            <b:First>S</b:First>
          </b:Person>
          <b:Person>
            <b:Last> Guevara</b:Last>
            <b:Middle>M.</b:Middle>
            <b:First>I.</b:First>
          </b:Person>
        </b:NameList>
      </b:Author>
    </b:Author>
    <b:RefOrder>67</b:RefOrder>
  </b:Source>
  <b:Source>
    <b:Tag>Gar</b:Tag>
    <b:SourceType>JournalArticle</b:SourceType>
    <b:Guid>{6F2E6CA0-F502-44BE-BBA1-5716B4D50972}</b:Guid>
    <b:Title>Uso del Endomarketing en Centro Industrial SA (CEINSA)</b:Title>
    <b:JournalName>Repositorio Universidad Tecnológica Centroamericana UNITEC</b:JournalName>
    <b:Author>
      <b:Author>
        <b:NameList>
          <b:Person>
            <b:Last>García</b:Last>
            <b:Middle>M.</b:Middle>
            <b:First>A.</b:First>
          </b:Person>
          <b:Person>
            <b:Last>García</b:Last>
            <b:Middle>M.</b:Middle>
            <b:First>N.</b:First>
          </b:Person>
        </b:NameList>
      </b:Author>
    </b:Author>
    <b:Year>2013</b:Year>
    <b:RefOrder>68</b:RefOrder>
  </b:Source>
  <b:Source>
    <b:Tag>Mor18</b:Tag>
    <b:SourceType>JournalArticle</b:SourceType>
    <b:Guid>{A2C5E255-0C9A-42EA-965B-0C0332606400}</b:Guid>
    <b:Author>
      <b:Author>
        <b:NameList>
          <b:Person>
            <b:Last>Moreno</b:Last>
            <b:First>J.</b:First>
            <b:Middle>A.</b:Middle>
          </b:Person>
        </b:NameList>
      </b:Author>
    </b:Author>
    <b:Title>Prácticas contemporáneas para potenciar la gestión del talento humano en el contexto Hondureño</b:Title>
    <b:JournalName>Revista Ciencia y Tecnología</b:JournalName>
    <b:Year>2018</b:Year>
    <b:RefOrder>69</b:RefOrder>
  </b:Source>
  <b:Source>
    <b:Tag>Riv16</b:Tag>
    <b:SourceType>JournalArticle</b:SourceType>
    <b:Guid>{6B82DB17-5F4A-4E5E-B57D-C7EBC6AAA9E4}</b:Guid>
    <b:Author>
      <b:Author>
        <b:NameList>
          <b:Person>
            <b:Last>Rivas Quiroz</b:Last>
            <b:First>A.</b:First>
          </b:Person>
        </b:NameList>
      </b:Author>
    </b:Author>
    <b:Title>Herramientas Que Apoyan La Gestión Del Talento Y La Adecuación Del Empleado A Su Puesto De Trabajo Lanzamiento de un emprendimiento dedicado al fortalecimiento de prácticas estratégicas de RH en Tegucigalpa, Honduras </b:Title>
    <b:JournalName>Repositorio Universidad de Palermo</b:JournalName>
    <b:Year>2016</b:Year>
    <b:RefOrder>70</b:RefOrder>
  </b:Source>
  <b:Source>
    <b:Tag>Gol05</b:Tag>
    <b:SourceType>JournalArticle</b:SourceType>
    <b:Guid>{ED3DFA67-8DD4-43CA-840E-6A4444793956}</b:Guid>
    <b:Author>
      <b:Author>
        <b:NameList>
          <b:Person>
            <b:Last>Goleman</b:Last>
            <b:First>D.</b:First>
          </b:Person>
        </b:NameList>
      </b:Author>
    </b:Author>
    <b:Title>Liderazgo que obtiene resultados.</b:Title>
    <b:JournalName>Harvard business review,</b:JournalName>
    <b:Year>2005</b:Year>
    <b:RefOrder>71</b:RefOrder>
  </b:Source>
  <b:Source>
    <b:Tag>Sal21</b:Tag>
    <b:SourceType>JournalArticle</b:SourceType>
    <b:Guid>{1F0339CD-4333-433C-BD52-B826B90B6ED8}</b:Guid>
    <b:Author>
      <b:Author>
        <b:NameList>
          <b:Person>
            <b:Last>Salas-Canales</b:Last>
            <b:First>H.</b:First>
            <b:Middle>J.</b:Middle>
          </b:Person>
        </b:NameList>
      </b:Author>
    </b:Author>
    <b:Title>Endomarketing: Una herramienta para la gestión efectiva del capital humano</b:Title>
    <b:JournalName>Revista Internacional de Investigación en Ciencias Sociales</b:JournalName>
    <b:Year>2021</b:Year>
    <b:RefOrder>72</b:RefOrder>
  </b:Source>
  <b:Source>
    <b:Tag>Jim09</b:Tag>
    <b:SourceType>JournalArticle</b:SourceType>
    <b:Guid>{0363D4C6-C491-4EAA-AF9E-DEBB5B3D86CC}</b:Guid>
    <b:Author>
      <b:Author>
        <b:NameList>
          <b:Person>
            <b:Last>Jiménez</b:Last>
            <b:First>P.</b:First>
            <b:Middle>A. F.</b:Middle>
          </b:Person>
        </b:NameList>
      </b:Author>
    </b:Author>
    <b:Title>Operativa del marketing interno: propuesta de modelo de endomarketing. </b:Title>
    <b:JournalName>Perspectivas</b:JournalName>
    <b:Year>2009</b:Year>
    <b:RefOrder>5</b:RefOrder>
  </b:Source>
  <b:Source>
    <b:Tag>Sán20</b:Tag>
    <b:SourceType>JournalArticle</b:SourceType>
    <b:Guid>{63643981-9877-42F2-9574-A47D3621A5CE}</b:Guid>
    <b:Title>Elaboración de un simulador con GeoGebra para la enseñanza de la física</b:Title>
    <b:Year>2020</b:Year>
    <b:Author>
      <b:Author>
        <b:NameList>
          <b:Person>
            <b:Last>Sánchez </b:Last>
            <b:Middle>C.</b:Middle>
            <b:First>I.</b:First>
          </b:Person>
          <b:Person>
            <b:Last>Sanchez</b:Last>
            <b:Middle>V. </b:Middle>
            <b:First>I.</b:First>
          </b:Person>
        </b:NameList>
      </b:Author>
    </b:Author>
    <b:JournalName>REAMEC</b:JournalName>
    <b:RefOrder>6</b:RefOrder>
  </b:Source>
  <b:Source>
    <b:Tag>Rui22</b:Tag>
    <b:SourceType>JournalArticle</b:SourceType>
    <b:Guid>{D51844AA-08CB-4741-AEFF-3E6A976A6998}</b:Guid>
    <b:Title>Modelo De Enseñanza Humanista.</b:Title>
    <b:JournalName>Repositorio Universidad Salazar Virtual</b:JournalName>
    <b:Year>2022</b:Year>
    <b:Author>
      <b:Author>
        <b:NameList>
          <b:Person>
            <b:Last>Ruiz</b:Last>
            <b:Middle>C.</b:Middle>
            <b:First>M.</b:First>
          </b:Person>
          <b:Person>
            <b:Last> Torrez</b:Last>
            <b:Middle>G.</b:Middle>
            <b:First>I.</b:First>
          </b:Person>
        </b:NameList>
      </b:Author>
    </b:Author>
    <b:RefOrder>7</b:RefOrder>
  </b:Source>
  <b:Source>
    <b:Tag>Zab03</b:Tag>
    <b:SourceType>JournalArticle</b:SourceType>
    <b:Guid>{663CD9F9-A757-4E8C-8310-10989C5DEB7A}</b:Guid>
    <b:Author>
      <b:Author>
        <b:NameList>
          <b:Person>
            <b:Last>Zabaleta</b:Last>
            <b:First>A.</b:First>
            <b:Middle>T.</b:Middle>
          </b:Person>
        </b:NameList>
      </b:Author>
    </b:Author>
    <b:Title>Los modelos actuales de gestión en las organizaciones. Gestión del talento, gestión del conocimiento y gestión por competencias. </b:Title>
    <b:JournalName>Psicología desde el Caribe</b:JournalName>
    <b:Year>2003</b:Year>
    <b:RefOrder>73</b:RefOrder>
  </b:Source>
  <b:Source>
    <b:Tag>All07</b:Tag>
    <b:SourceType>JournalArticle</b:SourceType>
    <b:Guid>{A77597CE-A06F-4679-AF9A-AB02ACA03425}</b:Guid>
    <b:Author>
      <b:Author>
        <b:NameList>
          <b:Person>
            <b:Last>Alles</b:Last>
            <b:First>M.</b:First>
            <b:Middle>A.</b:Middle>
          </b:Person>
        </b:NameList>
      </b:Author>
    </b:Author>
    <b:Title>Gestión por competencias: el diccionario</b:Title>
    <b:JournalName>Ediciones Granica SA</b:JournalName>
    <b:Year>2007</b:Year>
    <b:RefOrder>9</b:RefOrder>
  </b:Source>
  <b:Source>
    <b:Tag>Chi09</b:Tag>
    <b:SourceType>Book</b:SourceType>
    <b:Guid>{57F03C5D-20F4-4622-B8E2-0EC4C5758AB6}</b:Guid>
    <b:Author>
      <b:Author>
        <b:NameList>
          <b:Person>
            <b:Last>Chiavenato</b:Last>
            <b:First>I.</b:First>
          </b:Person>
        </b:NameList>
      </b:Author>
    </b:Author>
    <b:Title>Gestión del talento humano.</b:Title>
    <b:JournalName>Mc Graw Hill.</b:JournalName>
    <b:Year>2009</b:Year>
    <b:RefOrder>74</b:RefOrder>
  </b:Source>
  <b:Source>
    <b:Tag>Bet19</b:Tag>
    <b:SourceType>JournalArticle</b:SourceType>
    <b:Guid>{FA531449-37AE-41BA-9883-12C3DF126FE9}</b:Guid>
    <b:Author>
      <b:Author>
        <b:NameList>
          <b:Person>
            <b:Last>Betancur</b:Last>
            <b:First>S.</b:First>
            <b:Middle>C.</b:Middle>
          </b:Person>
        </b:NameList>
      </b:Author>
    </b:Author>
    <b:Title>Endomarketing y aprendizaje organizacional: una herramienta para la gestión</b:Title>
    <b:Year>2019</b:Year>
    <b:JournalName>NOVUM</b:JournalName>
    <b:RefOrder>10</b:RefOrder>
  </b:Source>
  <b:Source>
    <b:Tag>Pic23</b:Tag>
    <b:SourceType>JournalArticle</b:SourceType>
    <b:Guid>{ED9A8142-C406-475A-864F-2DC3661D98D2}</b:Guid>
    <b:Author>
      <b:Author>
        <b:NameList>
          <b:Person>
            <b:Last>Pico Sandoval</b:Last>
            <b:First>A.</b:First>
            <b:Middle>C.</b:Middle>
          </b:Person>
        </b:NameList>
      </b:Author>
    </b:Author>
    <b:Title>Endomarketing como mecanismo para promover la atracción y retención del talento humano.</b:Title>
    <b:Year>2023</b:Year>
    <b:JournalName>Repositorio Universidad de Bogotá Jorge Tadeo Lozano</b:JournalName>
    <b:RefOrder>75</b:RefOrder>
  </b:Source>
  <b:Source>
    <b:Tag>Bar09</b:Tag>
    <b:SourceType>JournalArticle</b:SourceType>
    <b:Guid>{FFCE45A0-A95A-4D4B-A5AB-07687F6215EE}</b:Guid>
    <b:Author>
      <b:Author>
        <b:NameList>
          <b:Person>
            <b:Last>Barahona</b:Last>
            <b:First>L.</b:First>
            <b:Middle>C.</b:Middle>
          </b:Person>
        </b:NameList>
      </b:Author>
    </b:Author>
    <b:Title>Endomarketing y la gestión de recursos humanos</b:Title>
    <b:JournalName>Revista Electrónica Gestión de las Personas y Tecnología</b:JournalName>
    <b:Year>2009</b:Year>
    <b:RefOrder>11</b:RefOrder>
  </b:Source>
  <b:Source>
    <b:Tag>Llo23</b:Tag>
    <b:SourceType>JournalArticle</b:SourceType>
    <b:Guid>{7C30A243-C4C6-47F3-BD13-D01F2CE2AC5A}</b:Guid>
    <b:Author>
      <b:Author>
        <b:NameList>
          <b:Person>
            <b:Last>Llopis</b:Last>
            <b:First>J.</b:First>
          </b:Person>
        </b:NameList>
      </b:Author>
    </b:Author>
    <b:Title>La Pandemia Y Su Efecto En El Mundo Del Trabajo En Honduras La Precariedad E Informalidad Como Nueva Y Vieja “Normalidad”.</b:Title>
    <b:Year>2023</b:Year>
    <b:JournalName>Librería Latinoamericana y Caribeña de Ciencias Sociales</b:JournalName>
    <b:RefOrder>12</b:RefOrder>
  </b:Source>
  <b:Source>
    <b:Tag>Cas06</b:Tag>
    <b:SourceType>JournalArticle</b:SourceType>
    <b:Guid>{46873708-C3FC-4AF6-9792-AAB43CD9702C}</b:Guid>
    <b:Author>
      <b:Author>
        <b:NameList>
          <b:Person>
            <b:Last>Castro Solano</b:Last>
            <b:First>A.</b:First>
          </b:Person>
        </b:NameList>
      </b:Author>
    </b:Author>
    <b:Title>Teorías implícitas del liderazgo, contexto y capacidad de conducción. </b:Title>
    <b:JournalName>Anales de psicología.</b:JournalName>
    <b:Year>2006</b:Year>
    <b:RefOrder>76</b:RefOrder>
  </b:Source>
  <b:Source>
    <b:Tag>Alc20</b:Tag>
    <b:SourceType>JournalArticle</b:SourceType>
    <b:Guid>{D5AB47E4-3768-4E52-A4A8-565EDF8D585C}</b:Guid>
    <b:Author>
      <b:Author>
        <b:NameList>
          <b:Person>
            <b:Last>Alcázar Cruz</b:Last>
            <b:First>P.</b:First>
          </b:Person>
        </b:NameList>
      </b:Author>
    </b:Author>
    <b:Title>Estilo de Liderazgo y Compromiso Organizacional: Impacto del liderazgo transformacional</b:Title>
    <b:JournalName>Economía coyuntural</b:JournalName>
    <b:Year>2020</b:Year>
    <b:RefOrder>77</b:RefOrder>
  </b:Source>
  <b:Source>
    <b:Tag>Mon14</b:Tag>
    <b:SourceType>JournalArticle</b:SourceType>
    <b:Guid>{54EDEA72-6127-4061-AD5B-CDBD12000524}</b:Guid>
    <b:Title>Teorías de liderazgo contemporáneo: análisis de la dinámica relacional.</b:Title>
    <b:JournalName>Revista de la Escuela de Administración y Economía,</b:JournalName>
    <b:Year>2014</b:Year>
    <b:Author>
      <b:Author>
        <b:NameList>
          <b:Person>
            <b:Last>Montalván</b:Last>
            <b:Middle>E.</b:Middle>
            <b:First>S.</b:First>
          </b:Person>
          <b:Person>
            <b:Last>Aguirre</b:Last>
            <b:Middle>P.</b:Middle>
            <b:First>I.</b:First>
          </b:Person>
          <b:Person>
            <b:Last>Sánchez</b:Last>
            <b:Middle>P.</b:Middle>
            <b:First>J. </b:First>
          </b:Person>
          <b:Person>
            <b:Last>Condolo</b:Last>
            <b:Middle>R.</b:Middle>
            <b:First>C.</b:First>
          </b:Person>
        </b:NameList>
      </b:Author>
    </b:Author>
    <b:RefOrder>78</b:RefOrder>
  </b:Source>
  <b:Source>
    <b:Tag>Gar15</b:Tag>
    <b:SourceType>JournalArticle</b:SourceType>
    <b:Guid>{63FC476F-99AC-407A-A3C4-7655D7EFAC87}</b:Guid>
    <b:Author>
      <b:Author>
        <b:NameList>
          <b:Person>
            <b:Last>García Solarte</b:Last>
            <b:First>M.</b:First>
          </b:Person>
        </b:NameList>
      </b:Author>
    </b:Author>
    <b:Title>Papel de los seguidores en el desarrollo de las teorías de liderazgo organizacional</b:Title>
    <b:JournalName>Apuntes del CENES</b:JournalName>
    <b:Year>2015</b:Year>
    <b:RefOrder>79</b:RefOrder>
  </b:Source>
  <b:Source>
    <b:Tag>Con12</b:Tag>
    <b:SourceType>JournalArticle</b:SourceType>
    <b:Guid>{4CF4A8D2-F05D-4FA5-9DC1-44F31CC5EC8C}</b:Guid>
    <b:Title>La organización como sistema complejo: implicaciones para la conceptualización del liderazgo</b:Title>
    <b:JournalName>Criterio libre</b:JournalName>
    <b:Year>2012</b:Year>
    <b:Author>
      <b:Author>
        <b:NameList>
          <b:Person>
            <b:Last>Contreras</b:Last>
            <b:First>F.</b:First>
          </b:Person>
          <b:Person>
            <b:Last>Ramírez</b:Last>
            <b:Middle>H.</b:Middle>
            <b:First>D.</b:First>
          </b:Person>
          <b:Person>
            <b:Last>Ríos</b:Last>
            <b:Middle>A.</b:Middle>
            <b:First>G.</b:First>
          </b:Person>
        </b:NameList>
      </b:Author>
    </b:Author>
    <b:RefOrder>13</b:RefOrder>
  </b:Source>
  <b:Source>
    <b:Tag>Lup05</b:Tag>
    <b:SourceType>JournalArticle</b:SourceType>
    <b:Guid>{A693B2FA-0D14-4939-96C2-40E4D1E7EAEB}</b:Guid>
    <b:Title>Estudios sobre el liderazgo. Teorías y evaluación.</b:Title>
    <b:Year>2005</b:Year>
    <b:Author>
      <b:Author>
        <b:NameList>
          <b:Person>
            <b:Last>Lupano</b:Last>
            <b:Middle>L.</b:Middle>
            <b:First>M.</b:First>
          </b:Person>
          <b:Person>
            <b:Last>Castro</b:Last>
            <b:First>A.</b:First>
          </b:Person>
        </b:NameList>
      </b:Author>
    </b:Author>
    <b:JournalName>Repositorio Universidad de Palermo</b:JournalName>
    <b:RefOrder>14</b:RefOrder>
  </b:Source>
  <b:Source>
    <b:Tag>San00</b:Tag>
    <b:SourceType>JournalArticle</b:SourceType>
    <b:Guid>{7FE690C7-66C5-45B1-9D41-72AFB201F56C}</b:Guid>
    <b:Author>
      <b:Author>
        <b:NameList>
          <b:Person>
            <b:Last>Santa Bárbara</b:Last>
            <b:First>E.</b:First>
            <b:Middle>S.</b:Middle>
          </b:Person>
        </b:NameList>
      </b:Author>
    </b:Author>
    <b:Title>Teoría del liderazgo situacional en la administración local: validez del modelo</b:Title>
    <b:JournalName>Psicothema</b:JournalName>
    <b:Year>2000</b:Year>
    <b:RefOrder>80</b:RefOrder>
  </b:Source>
  <b:Source>
    <b:Tag>Her72</b:Tag>
    <b:SourceType>JournalArticle</b:SourceType>
    <b:Guid>{62654861-44CF-45F9-8D74-ACBBCB08A102}</b:Guid>
    <b:Title>Liderazgo situacional.</b:Title>
    <b:JournalName>Englewood Cliff: Prentice Hall.</b:JournalName>
    <b:Year>1972</b:Year>
    <b:Author>
      <b:Author>
        <b:NameList>
          <b:Person>
            <b:Last>Hersey</b:Last>
            <b:First>P.</b:First>
          </b:Person>
          <b:Person>
            <b:Last>Blanchard</b:Last>
            <b:First>K.</b:First>
          </b:Person>
        </b:NameList>
      </b:Author>
    </b:Author>
    <b:RefOrder>81</b:RefOrder>
  </b:Source>
  <b:Source>
    <b:Tag>Cas05</b:Tag>
    <b:SourceType>JournalArticle</b:SourceType>
    <b:Guid>{EF7C8B27-292E-4A8E-9D2F-53AB804029D0}</b:Guid>
    <b:Title>Diferencias individuales en las teorías implícitas del liderazgo y la cultura organizacional percibida</b:Title>
    <b:JournalName>Boletín de psicología</b:JournalName>
    <b:Year>2005</b:Year>
    <b:Author>
      <b:Author>
        <b:NameList>
          <b:Person>
            <b:Last>Castro</b:Last>
            <b:First>A.</b:First>
          </b:Person>
          <b:Person>
            <b:Last>Lupano</b:Last>
            <b:First>M.</b:First>
          </b:Person>
        </b:NameList>
      </b:Author>
    </b:Author>
    <b:RefOrder>15</b:RefOrder>
  </b:Source>
  <b:Source>
    <b:Tag>Gil11</b:Tag>
    <b:SourceType>JournalArticle</b:SourceType>
    <b:Guid>{41E8046D-384C-4365-B131-7D32DFD2C861}</b:Guid>
    <b:Title>Nuevas formas de liderazgo en equipos de trabajo.</b:Title>
    <b:JournalName>Papeles del psicólogo</b:JournalName>
    <b:Year>2011</b:Year>
    <b:Author>
      <b:Author>
        <b:NameList>
          <b:Person>
            <b:Last>Gil</b:Last>
            <b:First>F.</b:First>
          </b:Person>
          <b:Person>
            <b:Last>Alcover</b:Last>
            <b:Middle>M.</b:Middle>
            <b:First>C.</b:First>
          </b:Person>
          <b:Person>
            <b:Last>Rico</b:Last>
            <b:First>R</b:First>
          </b:Person>
          <b:Person>
            <b:Last>Sánchez, Manzanarez</b:Last>
            <b:First>M.</b:First>
          </b:Person>
        </b:NameList>
      </b:Author>
    </b:Author>
    <b:RefOrder>82</b:RefOrder>
  </b:Source>
  <b:Source>
    <b:Tag>Mén13</b:Tag>
    <b:SourceType>JournalArticle</b:SourceType>
    <b:Guid>{BCFC4E88-54B1-4785-B061-853FBC4E64B2}</b:Guid>
    <b:Author>
      <b:Author>
        <b:NameList>
          <b:Person>
            <b:Last>Méndez</b:Last>
            <b:First>G.</b:First>
            <b:Middle>A. R.</b:Middle>
          </b:Person>
        </b:NameList>
      </b:Author>
    </b:Author>
    <b:Title>Liderazgo organizacional. Un desafío permanente. </b:Title>
    <b:JournalName>Universidad &amp; Empresa</b:JournalName>
    <b:Year>2013</b:Year>
    <b:RefOrder>16</b:RefOrder>
  </b:Source>
  <b:Source>
    <b:Tag>Gon21</b:Tag>
    <b:SourceType>JournalArticle</b:SourceType>
    <b:Guid>{4EADD393-1C01-4F62-AC1C-E37B9D5C8E8A}</b:Guid>
    <b:Title>Liderazgo: una práctica sistémica en el futuro empresarial.</b:Title>
    <b:JournalName>Revista Científica Profundidad Construyendo Futuro</b:JournalName>
    <b:Year>2021</b:Year>
    <b:Author>
      <b:Author>
        <b:NameList>
          <b:Person>
            <b:Last>González, Castro</b:Last>
            <b:First>Y.</b:First>
          </b:Person>
          <b:Person>
            <b:Last>Manzano, Durán</b:Last>
            <b:First>O.</b:First>
          </b:Person>
          <b:Person>
            <b:Last>Torres</b:Last>
            <b:First>Z.</b:First>
          </b:Person>
        </b:NameList>
      </b:Author>
    </b:Author>
    <b:RefOrder>83</b:RefOrder>
  </b:Source>
  <b:Source>
    <b:Tag>Maz15</b:Tag>
    <b:SourceType>JournalArticle</b:SourceType>
    <b:Guid>{976FAFB7-1C48-4D54-944C-A86D914634B0}</b:Guid>
    <b:Author>
      <b:Author>
        <b:NameList>
          <b:Person>
            <b:Last>Maza</b:Last>
            <b:First>M.</b:First>
            <b:Middle>D. C. L.</b:Middle>
          </b:Person>
        </b:NameList>
      </b:Author>
    </b:Author>
    <b:Title>El liderazgo y su evolución histórica. </b:Title>
    <b:JournalName>Revista empresarial</b:JournalName>
    <b:Year>2015</b:Year>
    <b:RefOrder>84</b:RefOrder>
  </b:Source>
  <b:Source>
    <b:Tag>Cue20</b:Tag>
    <b:SourceType>JournalArticle</b:SourceType>
    <b:Guid>{1B37BC8A-6C46-4DB8-9518-230AEC1072B5}</b:Guid>
    <b:Title>El desempeño laboral desde una perspectiva teórica</b:Title>
    <b:JournalName>Revista de investigación valor agregado</b:JournalName>
    <b:Year>2020</b:Year>
    <b:Author>
      <b:Author>
        <b:NameList>
          <b:Person>
            <b:Last>Cuello</b:Last>
            <b:Middle>B.</b:Middle>
            <b:First>R.</b:First>
          </b:Person>
          <b:Person>
            <b:Last> Fructus</b:Last>
            <b:Middle>C.</b:Middle>
            <b:First>R.</b:First>
          </b:Person>
          <b:Person>
            <b:Last>Panduro</b:Last>
            <b:Middle>D.</b:Middle>
            <b:First>J.</b:First>
          </b:Person>
        </b:NameList>
      </b:Author>
    </b:Author>
    <b:RefOrder>85</b:RefOrder>
  </b:Source>
  <b:Source>
    <b:Tag>Ram16</b:Tag>
    <b:SourceType>JournalArticle</b:SourceType>
    <b:Guid>{2CE71C06-8353-4792-8A84-326950730DE3}</b:Guid>
    <b:Author>
      <b:Author>
        <b:NameList>
          <b:Person>
            <b:Last>Ramos García</b:Last>
            <b:First>J.</b:First>
            <b:Middle>M.</b:Middle>
          </b:Person>
        </b:NameList>
      </b:Author>
    </b:Author>
    <b:Title>Gestión por resultados en México, 2013-2014</b:Title>
    <b:JournalName>Estudios fronterizos</b:JournalName>
    <b:Year>2016</b:Year>
    <b:RefOrder>86</b:RefOrder>
  </b:Source>
  <b:Source>
    <b:Tag>Cab07</b:Tag>
    <b:SourceType>JournalArticle</b:SourceType>
    <b:Guid>{66157F2C-89C0-4CF3-A5F4-C098DA95B906}</b:Guid>
    <b:Title>Una revisión del estado del arte en optimización.</b:Title>
    <b:JournalName>Revista Iberoamericana de Automática e Informática Industrial RIAI</b:JournalName>
    <b:Year>2007</b:Year>
    <b:Author>
      <b:Author>
        <b:NameList>
          <b:Person>
            <b:Last>Caballero</b:Last>
            <b:Middle>A.</b:Middle>
            <b:First>J.</b:First>
          </b:Person>
          <b:Person>
            <b:Last>Grossmann</b:Last>
            <b:Middle>E.</b:Middle>
            <b:First>I.</b:First>
          </b:Person>
        </b:NameList>
      </b:Author>
    </b:Author>
    <b:RefOrder>87</b:RefOrder>
  </b:Source>
  <b:Source>
    <b:Tag>Cha20</b:Tag>
    <b:SourceType>JournalArticle</b:SourceType>
    <b:Guid>{F6D134BA-B553-4FEE-B8EC-8103CF346B03}</b:Guid>
    <b:Author>
      <b:Author>
        <b:NameList>
          <b:Person>
            <b:Last>Changuán</b:Last>
            <b:First>M.</b:First>
            <b:Middle>P. O.</b:Middle>
          </b:Person>
        </b:NameList>
      </b:Author>
    </b:Author>
    <b:Title>Capacitación del talento humano y productividad: Una revisión literaria.</b:Title>
    <b:JournalName>Eca sinergia</b:JournalName>
    <b:Year>2020</b:Year>
    <b:RefOrder>88</b:RefOrder>
  </b:Source>
  <b:Source>
    <b:Tag>Cas22</b:Tag>
    <b:SourceType>JournalArticle</b:SourceType>
    <b:Guid>{CA77A630-3075-403C-93F6-D84B7301248E}</b:Guid>
    <b:Author>
      <b:Author>
        <b:NameList>
          <b:Person>
            <b:Last>Castillo</b:Last>
            <b:First>M.</b:First>
            <b:Middle>F. L.</b:Middle>
          </b:Person>
        </b:NameList>
      </b:Author>
    </b:Author>
    <b:Title>Importancia del liderazgo y su influencia en el personal para el cumplimiento de objetivos. </b:Title>
    <b:JournalName>TEPEXI Boletín Científico de la Escuela Superior Tepeji del Río</b:JournalName>
    <b:Year>2022</b:Year>
    <b:RefOrder>89</b:RefOrder>
  </b:Source>
  <b:Source>
    <b:Tag>Cam101</b:Tag>
    <b:SourceType>JournalArticle</b:SourceType>
    <b:Guid>{94EAD282-4B9A-4035-BE0E-855102DE5B03}</b:Guid>
    <b:Title>Talento de alto potencial. Una visión desde el interior de la línea de liderazgo.</b:Title>
    <b:JournalName>Centro de Liderazgo Creativo</b:JournalName>
    <b:Year>2010</b:Year>
    <b:Author>
      <b:Author>
        <b:NameList>
          <b:Person>
            <b:Last>Campbell</b:Last>
            <b:First>M</b:First>
          </b:Person>
          <b:Person>
            <b:Last>Smith</b:Last>
            <b:First>R</b:First>
          </b:Person>
        </b:NameList>
      </b:Author>
    </b:Author>
    <b:RefOrder>90</b:RefOrder>
  </b:Source>
  <b:Source>
    <b:Tag>Esc20</b:Tag>
    <b:SourceType>JournalArticle</b:SourceType>
    <b:Guid>{19CD7CA0-CD3A-464A-A222-8AFB3CB89DE8}</b:Guid>
    <b:Author>
      <b:Author>
        <b:NameList>
          <b:Person>
            <b:Last>Escobar</b:Last>
            <b:First>M.</b:First>
          </b:Person>
        </b:NameList>
      </b:Author>
    </b:Author>
    <b:Title>Psicología Humanista y Educación</b:Title>
    <b:JournalName>Aportes a la educación en el aprendizaje</b:JournalName>
    <b:Year>2020</b:Year>
    <b:RefOrder>91</b:RefOrder>
  </b:Source>
  <b:Source>
    <b:Tag>Lav03</b:Tag>
    <b:SourceType>JournalArticle</b:SourceType>
    <b:Guid>{53E34BCF-6D7E-47C1-BBBB-46362E1A21D1}</b:Guid>
    <b:Author>
      <b:Author>
        <b:NameList>
          <b:Person>
            <b:Last>Laverde</b:Last>
            <b:First>M.</b:First>
            <b:Middle>G.</b:Middle>
          </b:Person>
        </b:NameList>
      </b:Author>
    </b:Author>
    <b:Title>El enfoque teórico humanista. </b:Title>
    <b:JournalName>Poiésis</b:JournalName>
    <b:Year>2003</b:Year>
    <b:RefOrder>17</b:RefOrder>
  </b:Source>
  <b:Source>
    <b:Tag>Mac02</b:Tag>
    <b:SourceType>JournalArticle</b:SourceType>
    <b:Guid>{8B6CFBC4-ECC9-4097-AA34-9D5605797FDD}</b:Guid>
    <b:Title>Evolución de la teoría administrativa. Una visión desde la psicología organizacional</b:Title>
    <b:JournalName>Revista cubana de psicología</b:JournalName>
    <b:Year>2002</b:Year>
    <b:Author>
      <b:Author>
        <b:NameList>
          <b:Person>
            <b:Last>Macias</b:Last>
            <b:Middle>M.</b:Middle>
            <b:First>A.</b:First>
          </b:Person>
          <b:Person>
            <b:Last>Vidal</b:Last>
            <b:Middle>A.</b:Middle>
            <b:First>A.</b:First>
          </b:Person>
        </b:NameList>
      </b:Author>
    </b:Author>
    <b:RefOrder>92</b:RefOrder>
  </b:Source>
  <b:Source>
    <b:Tag>Ang07</b:Tag>
    <b:SourceType>JournalArticle</b:SourceType>
    <b:Guid>{63F7BCB6-5458-4882-BA5A-56AEBA3B6AFE}</b:Guid>
    <b:Author>
      <b:Author>
        <b:NameList>
          <b:Person>
            <b:Last>Angarita</b:Last>
            <b:First>J.</b:First>
            <b:Middle>R.</b:Middle>
          </b:Person>
        </b:NameList>
      </b:Author>
    </b:Author>
    <b:Title>Teoría de las necesidades de Maslow. Obtenido de Teoría de las necesidades de Maslow</b:Title>
    <b:JournalName>Paradigmas Educativos</b:JournalName>
    <b:Year>2007</b:Year>
    <b:RefOrder>93</b:RefOrder>
  </b:Source>
  <b:Source>
    <b:Tag>Tur16</b:Tag>
    <b:SourceType>JournalArticle</b:SourceType>
    <b:Guid>{084C48EF-B789-473A-93C5-C1237C210E7C}</b:Guid>
    <b:Author>
      <b:Author>
        <b:NameList>
          <b:Person>
            <b:Last>Turienzo</b:Last>
            <b:First>R.</b:First>
          </b:Person>
        </b:NameList>
      </b:Author>
    </b:Author>
    <b:Title> El pequeño libro de la motivación.</b:Title>
    <b:JournalName>Alienta Editorial</b:JournalName>
    <b:Year>2016</b:Year>
    <b:RefOrder>94</b:RefOrder>
  </b:Source>
  <b:Source>
    <b:Tag>Her11</b:Tag>
    <b:SourceType>JournalArticle</b:SourceType>
    <b:Guid>{8336C2B6-30A9-4551-9890-9CC90C301C24}</b:Guid>
    <b:Author>
      <b:Author>
        <b:NameList>
          <b:Person>
            <b:Last>Hernández Palma</b:Last>
            <b:First>H.</b:First>
            <b:Middle>G.</b:Middle>
          </b:Person>
        </b:NameList>
      </b:Author>
    </b:Author>
    <b:Title>La gestión empresarial, un enfoque del siglo XX, desde las teorías administrativas científica, funcional, burocrática y de relaciones humanas</b:Title>
    <b:JournalName>Repositorio digital institucional, Universidad Autonoma del Caribe</b:JournalName>
    <b:Year>2011</b:Year>
    <b:RefOrder>95</b:RefOrder>
  </b:Source>
  <b:Source>
    <b:Tag>Muñ10</b:Tag>
    <b:SourceType>JournalArticle</b:SourceType>
    <b:Guid>{0DB00272-694B-4C77-88DE-066FC1DDEF0A}</b:Guid>
    <b:Title>La pirámide de necesidades de Abraham Maslow.</b:Title>
    <b:JournalName>Estrategias y Tácticas de Negociación</b:JournalName>
    <b:Year>2010</b:Year>
    <b:Author>
      <b:Author>
        <b:NameList>
          <b:Person>
            <b:Last>Muñoz</b:Last>
            <b:Middle>D.</b:Middle>
            <b:First>M.</b:First>
          </b:Person>
          <b:Person>
            <b:Last>De la Fuente</b:Last>
            <b:Middle>V.</b:Middle>
            <b:First>F.</b:First>
          </b:Person>
        </b:NameList>
      </b:Author>
    </b:Author>
    <b:RefOrder>18</b:RefOrder>
  </b:Source>
  <b:Source>
    <b:Tag>Ram07</b:Tag>
    <b:SourceType>JournalArticle</b:SourceType>
    <b:Guid>{2A22C09D-1D75-4DD5-BD37-AF6969EC1AA9}</b:Guid>
    <b:Author>
      <b:Author>
        <b:NameList>
          <b:Person>
            <b:Last>Ramírez</b:Last>
            <b:First>L.</b:First>
          </b:Person>
        </b:NameList>
      </b:Author>
    </b:Author>
    <b:Title>Teoría administrativa. .</b:Title>
    <b:JournalName>Repositorio Universidad Santiago de Chile, Departamento de Gestión y Políticas Públicas</b:JournalName>
    <b:Year>2007</b:Year>
    <b:RefOrder>19</b:RefOrder>
  </b:Source>
  <b:Source>
    <b:Tag>Rib04</b:Tag>
    <b:SourceType>JournalArticle</b:SourceType>
    <b:Guid>{A889CF91-1F8D-4A51-9852-2E09D7E3B273}</b:Guid>
    <b:Author>
      <b:Author>
        <b:NameList>
          <b:Person>
            <b:Last>Ribeiro</b:Last>
            <b:First>A.</b:First>
          </b:Person>
        </b:NameList>
      </b:Author>
    </b:Author>
    <b:Title>Endomarketing. </b:Title>
    <b:JournalName>Editorial Odontex</b:JournalName>
    <b:Year>2004</b:Year>
    <b:RefOrder>96</b:RefOrder>
  </b:Source>
  <b:Source>
    <b:Tag>Grö15</b:Tag>
    <b:SourceType>Book</b:SourceType>
    <b:Guid>{188D8605-68BF-47C9-B382-EAD65AED8B40}</b:Guid>
    <b:Title>Service management and marketing: managing the moment of truth in service</b:Title>
    <b:Year>2015</b:Year>
    <b:Author>
      <b:Author>
        <b:NameList>
          <b:Person>
            <b:Last>Grönroos</b:Last>
            <b:First>C.</b:First>
          </b:Person>
        </b:NameList>
      </b:Author>
    </b:Author>
    <b:City>Massachussets-USA</b:City>
    <b:Publisher>Lexington Books</b:Publisher>
    <b:RefOrder>21</b:RefOrder>
  </b:Source>
  <b:Source>
    <b:Tag>Bui21</b:Tag>
    <b:SourceType>JournalArticle</b:SourceType>
    <b:Guid>{20179D6C-2128-4D75-86C1-ACBD24242A42}</b:Guid>
    <b:Author>
      <b:Author>
        <b:NameList>
          <b:Person>
            <b:Last>Buitrago, Reyes</b:Last>
            <b:Middle>P.</b:Middle>
            <b:First>A.</b:First>
          </b:Person>
          <b:Person>
            <b:Last>Rey, Onzaga</b:Last>
            <b:First>J.</b:First>
          </b:Person>
        </b:NameList>
      </b:Author>
    </b:Author>
    <b:Title>Impacto del Endomarketing en la generación de valor en las organizaciones del siglo XXI.</b:Title>
    <b:Year>2021</b:Year>
    <b:JournalName>Repositorio Universidad EAN</b:JournalName>
    <b:RefOrder>97</b:RefOrder>
  </b:Source>
  <b:Source>
    <b:Tag>Avi19</b:Tag>
    <b:SourceType>JournalArticle</b:SourceType>
    <b:Guid>{FBB7B8A3-A839-4E06-BA91-452E7A055039}</b:Guid>
    <b:Title>El Endomarketing como fuente de motivación y compromiso para el cliente interno.</b:Title>
    <b:Year>2019</b:Year>
    <b:Author>
      <b:Author>
        <b:NameList>
          <b:Person>
            <b:Last>Avila</b:Last>
            <b:First>Chavez,</b:First>
            <b:Middle>L. A.</b:Middle>
          </b:Person>
          <b:Person>
            <b:Last>Colana</b:Last>
            <b:First>Zapata,</b:First>
            <b:Middle>R. J.</b:Middle>
          </b:Person>
        </b:NameList>
      </b:Author>
    </b:Author>
    <b:JournalName>CONCYTEC</b:JournalName>
    <b:RefOrder>98</b:RefOrder>
  </b:Source>
  <b:Source>
    <b:Tag>Cor07</b:Tag>
    <b:SourceType>JournalArticle</b:SourceType>
    <b:Guid>{065B166D-E2A4-4474-8380-CE90A78DF221}</b:Guid>
    <b:Author>
      <b:Author>
        <b:NameList>
          <b:Person>
            <b:Last>Corral</b:Last>
            <b:First>F.</b:First>
          </b:Person>
        </b:NameList>
      </b:Author>
    </b:Author>
    <b:Title>Reclutamiento y selección por competencias. </b:Title>
    <b:JournalName>Escuela de Negocios</b:JournalName>
    <b:Year>2007</b:Year>
    <b:RefOrder>22</b:RefOrder>
  </b:Source>
  <b:Source>
    <b:Tag>Rod17</b:Tag>
    <b:SourceType>JournalArticle</b:SourceType>
    <b:Guid>{40D8FAA5-2CDF-404A-8312-C154BA4DF99D}</b:Guid>
    <b:Title>Problemas éticos y consecuencias reconocidas por psicólogos nóveles en reclutamiento y selección de personal.</b:Title>
    <b:JournalName>Psicoperspectivas</b:JournalName>
    <b:Year>2017</b:Year>
    <b:Author>
      <b:Author>
        <b:NameList>
          <b:Person>
            <b:Last>Rodríguez, Araneda</b:Last>
            <b:Middle>J.</b:Middle>
            <b:First>M.</b:First>
          </b:Person>
          <b:Person>
            <b:Last>Navarrete, Moraga</b:Last>
            <b:First>R.</b:First>
          </b:Person>
          <b:Person>
            <b:Last>Bargsted, Aravena</b:Last>
            <b:First>M</b:First>
          </b:Person>
        </b:NameList>
      </b:Author>
    </b:Author>
    <b:RefOrder>99</b:RefOrder>
  </b:Source>
  <b:Source>
    <b:Tag>Cas03</b:Tag>
    <b:SourceType>JournalArticle</b:SourceType>
    <b:Guid>{9D7841D2-535F-4AD7-B09D-C9B611E8451B}</b:Guid>
    <b:Author>
      <b:Author>
        <b:NameList>
          <b:Person>
            <b:Last>Cascante</b:Last>
            <b:First>L.</b:First>
            <b:Middle>G. M.</b:Middle>
          </b:Person>
        </b:NameList>
      </b:Author>
    </b:Author>
    <b:Title>El paradigma positivista y la concepción dialéctica del conocimiento.</b:Title>
    <b:JournalName>Revista Digital: Matemática, Educación e Internet</b:JournalName>
    <b:Year>2003</b:Year>
    <b:RefOrder>23</b:RefOrder>
  </b:Source>
  <b:Source>
    <b:Tag>Her13</b:Tag>
    <b:SourceType>JournalArticle</b:SourceType>
    <b:Guid>{21443F4A-5307-41B7-96E0-C39C226ED1E3}</b:Guid>
    <b:Title>Epistemología dialógica de las ciencias administrativas.</b:Title>
    <b:JournalName>Cuadernos latinoamericanos de administración</b:JournalName>
    <b:Year>2013</b:Year>
    <b:Author>
      <b:Author>
        <b:NameList>
          <b:Person>
            <b:Last>Hernández, V</b:Last>
            <b:Middle>G.</b:Middle>
            <b:First>J.</b:First>
          </b:Person>
          <b:Person>
            <b:Last>Arias, L</b:Last>
            <b:Middle>D.</b:Middle>
            <b:First>A.</b:First>
          </b:Person>
          <b:Person>
            <b:Last>Zepeda</b:Last>
            <b:Middle>V</b:Middle>
            <b:First>A.</b:First>
          </b:Person>
          <b:Person>
            <b:Last>Borroyo</b:Last>
            <b:Middle>L.</b:Middle>
            <b:First>C.</b:First>
          </b:Person>
        </b:NameList>
      </b:Author>
    </b:Author>
    <b:RefOrder>100</b:RefOrder>
  </b:Source>
  <b:Source>
    <b:Tag>Her18</b:Tag>
    <b:SourceType>JournalArticle</b:SourceType>
    <b:Guid>{4E986A4A-8F9A-4360-8B17-C75AB31CE6F7}</b:Guid>
    <b:Title>Reflexiones sobre la cultura organizacional desde el paradigma positivista y funcionalista de la ciencia.</b:Title>
    <b:JournalName>Boletín Científico de las Ciencias Económico Administrativas del ICEA</b:JournalName>
    <b:Year>2018</b:Year>
    <b:Author>
      <b:Author>
        <b:NameList>
          <b:Person>
            <b:Last>Hernández</b:Last>
            <b:Middle>G.</b:Middle>
            <b:First>Y.</b:First>
          </b:Person>
          <b:Person>
            <b:Last>Romo</b:Last>
            <b:Middle>G.</b:Middle>
            <b:First>A.</b:First>
          </b:Person>
        </b:NameList>
      </b:Author>
    </b:Author>
    <b:RefOrder>24</b:RefOrder>
  </b:Source>
  <b:Source>
    <b:Tag>Pár06</b:Tag>
    <b:SourceType>JournalArticle</b:SourceType>
    <b:Guid>{1907D0D0-8D8D-4C84-85F4-1B33ACDAEDEE}</b:Guid>
    <b:Title>Investigación alternativa: por una distinción entre posturas epistemológicas y no entre métodos.</b:Title>
    <b:JournalName>Cinta de moebio</b:JournalName>
    <b:Year>2006</b:Year>
    <b:Author>
      <b:Author>
        <b:NameList>
          <b:Person>
            <b:Last>Páramo</b:Last>
            <b:First>P.</b:First>
          </b:Person>
          <b:Person>
            <b:Last> Otálvaro</b:Last>
            <b:First>G.</b:First>
          </b:Person>
        </b:NameList>
      </b:Author>
    </b:Author>
    <b:RefOrder>25</b:RefOrder>
  </b:Source>
  <b:Source>
    <b:Tag>Pol09</b:Tag>
    <b:SourceType>JournalArticle</b:SourceType>
    <b:Guid>{D9D5DC35-3A7B-4F03-BC0E-FAE06DF858FC}</b:Guid>
    <b:Author>
      <b:Author>
        <b:NameList>
          <b:Person>
            <b:Last>Pole</b:Last>
            <b:First>K.</b:First>
          </b:Person>
        </b:NameList>
      </b:Author>
    </b:Author>
    <b:Title>Diseño de metodologías mixtas. Una revisión de las estrategias para combinar metodologías cuantitativas y cualitativas. </b:Title>
    <b:JournalName>Revista arbitrada en ciencias sociales y humanidades</b:JournalName>
    <b:Year>2009</b:Year>
    <b:RefOrder>26</b:RefOrder>
  </b:Source>
  <b:Source>
    <b:Tag>New04</b:Tag>
    <b:SourceType>JournalArticle</b:SourceType>
    <b:Guid>{0D786FBC-EC99-40C8-AF18-C73CCFEF9B33}</b:Guid>
    <b:Author>
      <b:Author>
        <b:NameList>
          <b:Person>
            <b:Last>Newman</b:Last>
            <b:First>G.</b:First>
            <b:Middle>D.</b:Middle>
          </b:Person>
        </b:NameList>
      </b:Author>
    </b:Author>
    <b:Title>El razonamiento inductivo y deductivo dentro del proceso investigativo en ciencias experimentales y sociales</b:Title>
    <b:JournalName>Laurus</b:JournalName>
    <b:Year>2004</b:Year>
    <b:RefOrder>101</b:RefOrder>
  </b:Source>
  <b:Source>
    <b:Tag>Val09</b:Tag>
    <b:SourceType>JournalArticle</b:SourceType>
    <b:Guid>{4296B818-5574-4AA1-A0C4-68EE77088564}</b:Guid>
    <b:Author>
      <b:Author>
        <b:NameList>
          <b:Person>
            <b:Last>Valle</b:Last>
            <b:First>E.</b:First>
            <b:Middle>G. Y.</b:Middle>
          </b:Person>
        </b:NameList>
      </b:Author>
    </b:Author>
    <b:Title>Metodología de la investigación. </b:Title>
    <b:Year>2009</b:Year>
    <b:RefOrder>102</b:RefOrder>
  </b:Source>
  <b:Source>
    <b:Tag>Arb17</b:Tag>
    <b:SourceType>JournalArticle</b:SourceType>
    <b:Guid>{151909B2-2612-43C4-A077-FFD17A2529F2}</b:Guid>
    <b:Title>Endomarketing: hacia la construcción de la identidad empresarial</b:Title>
    <b:JournalName>Revista Cultural Unilibre</b:JournalName>
    <b:Year>2017</b:Year>
    <b:Author>
      <b:Author>
        <b:NameList>
          <b:Person>
            <b:Last>Arbelaez</b:Last>
            <b:First>D.</b:First>
            <b:Middle>C.</b:Middle>
          </b:Person>
          <b:Person>
            <b:Last>Castillo</b:Last>
            <b:First>E,</b:First>
            <b:Middle>E. M.</b:Middle>
          </b:Person>
          <b:Person>
            <b:Last>Licona</b:Last>
            <b:First>J.M.</b:First>
          </b:Person>
        </b:NameList>
      </b:Author>
    </b:Author>
    <b:RefOrder>103</b:RefOrder>
  </b:Source>
  <b:Source>
    <b:Tag>MarcadorDePosición14</b:Tag>
    <b:SourceType>JournalArticle</b:SourceType>
    <b:Guid>{2E6C84D5-22CD-47FE-ACC1-B2BC158C9BF1}</b:Guid>
    <b:Author>
      <b:Author>
        <b:NameList>
          <b:Person>
            <b:Last>De las Heras García</b:Last>
            <b:First>M.</b:First>
            <b:Middle>Á.</b:Middle>
          </b:Person>
        </b:NameList>
      </b:Author>
    </b:Author>
    <b:Title>Estado civil de las personas, el nacimiento, la extinción de la personalidad</b:Title>
    <b:JournalName>UPDATE</b:JournalName>
    <b:Year>2021</b:Year>
    <b:RefOrder>104</b:RefOrder>
  </b:Source>
  <b:Source>
    <b:Tag>Her06</b:Tag>
    <b:SourceType>BookSection</b:SourceType>
    <b:Guid>{A9191F11-6C5E-41A7-9F0B-E05A8BCC8CBD}</b:Guid>
    <b:Title>Análisis de los datos cuantitativos. </b:Title>
    <b:Year>2006</b:Year>
    <b:Author>
      <b:Author>
        <b:NameList>
          <b:Person>
            <b:Last>Hernández,Sampieri</b:Last>
            <b:First>R.</b:First>
          </b:Person>
          <b:Person>
            <b:Last>Fernández, Collado</b:Last>
            <b:First>C.</b:First>
          </b:Person>
          <b:Person>
            <b:Last>Baptista, Lucio</b:Last>
            <b:First>P.</b:First>
          </b:Person>
        </b:NameList>
      </b:Author>
      <b:BookAuthor>
        <b:NameList>
          <b:Person>
            <b:Last>Hernández-Sampier</b:Last>
            <b:First>Roberto</b:First>
          </b:Person>
        </b:NameList>
      </b:BookAuthor>
    </b:Author>
    <b:BookTitle>Metodología de la investigación</b:BookTitle>
    <b:Publisher>Centro de Recursos en Linea</b:Publisher>
    <b:RefOrder>105</b:RefOrder>
  </b:Source>
  <b:Source>
    <b:Tag>Par11</b:Tag>
    <b:SourceType>JournalArticle</b:SourceType>
    <b:Guid>{778CC166-82F8-47FC-9FA0-4DE588F0E2A7}</b:Guid>
    <b:Title>La gestión del talento humano ante el desafío de organizaciones competitivas</b:Title>
    <b:JournalName>Ciencia Unisalle</b:JournalName>
    <b:Year>2011</b:Year>
    <b:Author>
      <b:Author>
        <b:NameList>
          <b:Person>
            <b:Last>Pardo </b:Last>
            <b:Middle>E.</b:Middle>
            <b:First>C.</b:First>
          </b:Person>
          <b:Person>
            <b:Last>Porras</b:Last>
            <b:Middle>A.</b:Middle>
            <b:First>J.</b:First>
          </b:Person>
        </b:NameList>
      </b:Author>
    </b:Author>
    <b:RefOrder>8</b:RefOrder>
  </b:Source>
  <b:Source>
    <b:Tag>Álv20</b:Tag>
    <b:SourceType>JournalArticle</b:SourceType>
    <b:Guid>{AF7E9C89-C5DF-41B5-A777-794F2DC7D28F}</b:Guid>
    <b:Author>
      <b:Author>
        <b:NameList>
          <b:Person>
            <b:Last>Álvaro</b:Last>
            <b:First>Mori,</b:First>
            <b:Middle>A. A.</b:Middle>
          </b:Person>
        </b:NameList>
      </b:Author>
    </b:Author>
    <b:Title>Endomarketing y calidad de servicio en la empresa Globo, Arequipa</b:Title>
    <b:Year>2020</b:Year>
    <b:JournalName>Repositorio Universidad Autonoma de Peru</b:JournalName>
    <b:RefOrder>106</b:RefOrder>
  </b:Source>
  <b:Source>
    <b:Tag>Cab25</b:Tag>
    <b:SourceType>JournalArticle</b:SourceType>
    <b:Guid>{3202CD4D-D954-4A5B-8888-B71D91D6DF66}</b:Guid>
    <b:Author>
      <b:Author>
        <b:NameList>
          <b:Person>
            <b:Last>Cabezas</b:Last>
            <b:First>J.</b:First>
            <b:Middle>P.</b:Middle>
          </b:Person>
        </b:NameList>
      </b:Author>
    </b:Author>
    <b:Title>Gestión del talento humano y rotación laboral en organizaciones públicas ecuatorianas</b:Title>
    <b:JournalName>Revista Científica de Administración y Desarrollo Organizacional</b:JournalName>
    <b:Year>2025</b:Year>
    <b:Pages>22–38</b:Pages>
    <b:Volume>11</b:Volume>
    <b:Issue>1</b:Issue>
    <b:DOI>https://doi.org/10.47230/rcado.v11i1.563</b:DOI>
    <b:RefOrder>1</b:RefOrder>
  </b:Source>
  <b:Source>
    <b:Tag>Org23</b:Tag>
    <b:SourceType>Report</b:SourceType>
    <b:Guid>{B4E54372-CE0B-4674-A01E-7A6C133AF78C}</b:Guid>
    <b:Author>
      <b:Author>
        <b:NameList>
          <b:Person>
            <b:Last>Organización Internacional del Trabajo</b:Last>
          </b:Person>
        </b:NameList>
      </b:Author>
    </b:Author>
    <b:Title>Perspectivas del empleo y la gestión laboral en el sector público</b:Title>
    <b:Year>2023</b:Year>
    <b:Publisher>Organización Internacional del Trabajo (OIT)</b:Publisher>
    <b:RefOrder>2</b:RefOrder>
  </b:Source>
  <b:Source>
    <b:Tag>Man25</b:Tag>
    <b:SourceType>JournalArticle</b:SourceType>
    <b:Guid>{5C3E3FAE-A26A-49DE-B70A-28F6CB6CBC69}</b:Guid>
    <b:Author>
      <b:Author>
        <b:NameList>
          <b:Person>
            <b:Last>Mangia</b:Last>
            <b:First>C.</b:First>
          </b:Person>
          <b:Person>
            <b:Last>Torres</b:Last>
            <b:First>P.</b:First>
          </b:Person>
          <b:Person>
            <b:Last>Villacrés</b:Last>
            <b:First>D.</b:First>
          </b:Person>
        </b:NameList>
      </b:Author>
    </b:Author>
    <b:Title>Retención del talento humano y estabilidad organizacional en el sector público</b:Title>
    <b:JournalName>Journal of Public Administration and Organizational Studies</b:JournalName>
    <b:Year>2025</b:Year>
    <b:Pages>31–49</b:Pages>
    <b:Volume>7</b:Volume>
    <b:Issue>1</b:Issue>
    <b:DOI>https://doi.org/10.60112/jpaos.v7i1.992</b:DOI>
    <b:RefOrder>3</b:RefOrder>
  </b:Source>
  <b:Source>
    <b:Tag>Com22</b:Tag>
    <b:SourceType>Report</b:SourceType>
    <b:Guid>{4679FD5C-40DE-4BCE-A900-B755BB046F7F}</b:Guid>
    <b:Title>Panorama de la gestión pública en América Latina</b:Title>
    <b:Year>2022</b:Year>
    <b:Publisher>Comisión Económica para América Latina y el Caribe (CEPAL)</b:Publisher>
    <b:Author>
      <b:Author>
        <b:NameList>
          <b:Person>
            <b:Last>Comisión Económica para América Latina y el Caribe</b:Last>
          </b:Person>
        </b:NameList>
      </b:Author>
    </b:Author>
    <b:RefOrder>4</b:RefOrder>
  </b:Source>
  <b:Source>
    <b:Tag>Ace23</b:Tag>
    <b:SourceType>JournalArticle</b:SourceType>
    <b:Guid>{7DB8B1A7-5DE8-49D8-A06A-AE425B7B03E3}</b:Guid>
    <b:Author>
      <b:Author>
        <b:NameList>
          <b:Person>
            <b:Last>Acevedo-Ramón</b:Last>
            <b:First>M.</b:First>
            <b:Middle>A.</b:Middle>
          </b:Person>
        </b:NameList>
      </b:Author>
    </b:Author>
    <b:Title>Rotación del personal y sostenibilidad organizacional en instituciones públicas latinoamericanas</b:Title>
    <b:JournalName>Revista Iberoamericana de Gestión Pública</b:JournalName>
    <b:Year>2023</b:Year>
    <b:Pages>44–59</b:Pages>
    <b:Volume>18</b:Volume>
    <b:Issue>2</b:Issue>
    <b:DOI>https://doi.org/10.35381/rigp.v18i2.2145</b:DOI>
    <b:RefOrder>5</b:RefOrder>
  </b:Source>
  <b:Source>
    <b:Tag>Min231</b:Tag>
    <b:SourceType>Report</b:SourceType>
    <b:Guid>{008C7250-4149-44BC-A3A4-FDD33100DB93}</b:Guid>
    <b:Title>Informe anual de empleo público</b:Title>
    <b:Year>2023</b:Year>
    <b:Publisher>Ministerio del Trabajo</b:Publisher>
    <b:City>Gobierno del Ecuador</b:City>
    <b:Author>
      <b:Author>
        <b:NameList>
          <b:Person>
            <b:Last>Ministerio del Trabajo</b:Last>
          </b:Person>
        </b:NameList>
      </b:Author>
    </b:Author>
    <b:RefOrder>6</b:RefOrder>
  </b:Source>
  <b:Source>
    <b:Tag>Can25</b:Tag>
    <b:SourceType>JournalArticle</b:SourceType>
    <b:Guid>{78DBF4F0-1828-4218-A0B6-D4F123C2D4B6}</b:Guid>
    <b:Author>
      <b:Author>
        <b:NameList>
          <b:Person>
            <b:Last>Canton</b:Last>
            <b:First>L.</b:First>
            <b:Middle>F.</b:Middle>
          </b:Person>
        </b:NameList>
      </b:Author>
    </b:Author>
    <b:Title>Procesos internos y eficiencia administrativa en entidades públicas contemporáneas</b:Title>
    <b:JournalName>Revista Latinoamericana de Gestión Institucional</b:JournalName>
    <b:Year>2025</b:Year>
    <b:Pages>61–79</b:Pages>
    <b:Volume>9</b:Volume>
    <b:Issue>3</b:Issue>
    <b:DOI>https://doi.org/10.49874/rlgi.v9i3.771</b:DOI>
    <b:RefOrder>7</b:RefOrder>
  </b:Source>
  <b:Source>
    <b:Tag>Ban22</b:Tag>
    <b:SourceType>Report</b:SourceType>
    <b:Guid>{8C6B3C59-993A-4779-BD3C-9784566A8F5D}</b:Guid>
    <b:Author>
      <b:Author>
        <b:NameList>
          <b:Person>
            <b:Last>Banco Interamericano de Desarrollo</b:Last>
          </b:Person>
        </b:NameList>
      </b:Author>
    </b:Author>
    <b:Title>Gestión pública y talento humano en América Latina</b:Title>
    <b:Year>2022</b:Year>
    <b:Publisher>Banco Interamericano de Desarrollo</b:Publisher>
    <b:City>Quito</b:City>
    <b:RefOrder>8</b:RefOrder>
  </b:Source>
  <b:Source>
    <b:Tag>Gar23</b:Tag>
    <b:SourceType>JournalArticle</b:SourceType>
    <b:Guid>{BF2690BE-1D6B-4F52-8973-49D82CBB62BE}</b:Guid>
    <b:Author>
      <b:Author>
        <b:NameList>
          <b:Person>
            <b:Last>Garnica</b:Last>
            <b:First>R.</b:First>
            <b:Middle>E.</b:Middle>
          </b:Person>
        </b:NameList>
      </b:Author>
    </b:Author>
    <b:Title>Clima organizacional y permanencia laboral en instituciones públicas de América Latina</b:Title>
    <b:JournalName>Revista Internacional de Talento Humano</b:JournalName>
    <b:Year>2023</b:Year>
    <b:Pages>85–101</b:Pages>
    <b:Volume>14</b:Volume>
    <b:Issue>2</b:Issue>
    <b:DOI>https://doi.org/10.55204/rith.v14i2.408</b:DOI>
    <b:RefOrder>9</b:RefOrder>
  </b:Source>
  <b:Source>
    <b:Tag>Min23</b:Tag>
    <b:SourceType>Report</b:SourceType>
    <b:Guid>{1078B834-31F5-44E0-BDA6-4632A6993BF1}</b:Guid>
    <b:Title>Informe de gestión institucional</b:Title>
    <b:Year>2023</b:Year>
    <b:Author>
      <b:Author>
        <b:NameList>
          <b:Person>
            <b:Last>Ministerio de Inclusión Económica y Social</b:Last>
          </b:Person>
        </b:NameList>
      </b:Author>
    </b:Author>
    <b:Publisher>Ministerio de Inclusión Económica y Social (MIES)</b:Publisher>
    <b:City>Quito</b:City>
    <b:RefOrder>10</b:RefOrder>
  </b:Source>
  <b:Source>
    <b:Tag>Asa22</b:Tag>
    <b:SourceType>Report</b:SourceType>
    <b:Guid>{B53AEE34-20DA-46F5-8A52-DAEE1B5B190B}</b:Guid>
    <b:Author>
      <b:Author>
        <b:NameList>
          <b:Person>
            <b:Last>Asamblea Nacional del Ecuador</b:Last>
          </b:Person>
        </b:NameList>
      </b:Author>
    </b:Author>
    <b:Title>Constitución de la República del Ecuador</b:Title>
    <b:Year>2022</b:Year>
    <b:Publisher>Asamblea Nacional del Ecuador</b:Publisher>
    <b:City>Quito</b:City>
    <b:RefOrder>11</b:RefOrder>
  </b:Source>
  <b:Source>
    <b:Tag>Lon22</b:Tag>
    <b:SourceType>Report</b:SourceType>
    <b:Guid>{0F953C5E-EE2B-48C4-BB23-1F259BA51A18}</b:Guid>
    <b:Author>
      <b:Author>
        <b:NameList>
          <b:Person>
            <b:Last>Longo</b:Last>
            <b:First>F.</b:First>
          </b:Person>
          <b:Person>
            <b:Last>Iacoviello</b:Last>
            <b:First>M.</b:First>
          </b:Person>
        </b:NameList>
      </b:Author>
    </b:Author>
    <b:Title>Profesionalización y gestión pública en América Latina</b:Title>
    <b:Year>2022</b:Year>
    <b:Publisher>Banco Interamericano de Desarrollo</b:Publisher>
    <b:RefOrder>12</b:RefOrder>
  </b:Source>
  <b:Source>
    <b:Tag>Vás24</b:Tag>
    <b:SourceType>JournalArticle</b:SourceType>
    <b:Guid>{BB049A2A-BEE7-4E08-A09D-41695428E37A}</b:Guid>
    <b:Author>
      <b:Author>
        <b:NameList>
          <b:Person>
            <b:Last>Vásquez</b:Last>
            <b:First>D.</b:First>
            <b:Middle>R.</b:Middle>
          </b:Person>
        </b:NameList>
      </b:Author>
    </b:Author>
    <b:Title>Continuidad operativa y gestión institucional frente a la rotación del personal</b:Title>
    <b:JournalName>Revista de Administración Pública y Desarrollo Social</b:JournalName>
    <b:Year>2024</b:Year>
    <b:Pages>102–118</b:Pages>
    <b:Volume>16</b:Volume>
    <b:Issue>4</b:Issue>
    <b:DOI>https://doi.org/10.38492/rapds.v16i4.621</b:DOI>
    <b:RefOrder>13</b:RefOrder>
  </b:Source>
  <b:Source>
    <b:Tag>Par22</b:Tag>
    <b:SourceType>JournalArticle</b:SourceType>
    <b:Guid>{A7DBC6CD-459C-49F5-A647-71F6BFA29DC8}</b:Guid>
    <b:Title>Turnover rates and organizational performance: A meta-analysis</b:Title>
    <b:Year>2022</b:Year>
    <b:Author>
      <b:Author>
        <b:NameList>
          <b:Person>
            <b:Last>Park</b:Last>
            <b:First>T.</b:First>
            <b:Middle>Y.</b:Middle>
          </b:Person>
          <b:Person>
            <b:Last>Shaw</b:Last>
            <b:First>J.</b:First>
            <b:Middle>D.</b:Middle>
          </b:Person>
        </b:NameList>
      </b:Author>
    </b:Author>
    <b:JournalName>Journal of Applied Psychology</b:JournalName>
    <b:Pages>1-20</b:Pages>
    <b:Volume>107</b:Volume>
    <b:Issue>1</b:Issue>
    <b:DOI>https://doi.org/10.1037/apl0000901</b:DOI>
    <b:RefOrder>14</b:RefOrder>
  </b:Source>
  <b:Source>
    <b:Tag>Hom24</b:Tag>
    <b:SourceType>JournalArticle</b:SourceType>
    <b:Guid>{A0693257-AEF7-4AD7-B75B-DBA7255A743F}</b:Guid>
    <b:Title>One hundred years of employee turnover theory and research</b:Title>
    <b:Year>2024</b:Year>
    <b:Author>
      <b:Author>
        <b:NameList>
          <b:Person>
            <b:Last>Hom</b:Last>
            <b:First>P.</b:First>
            <b:Middle>W.</b:Middle>
          </b:Person>
          <b:Person>
            <b:Last>Lee</b:Last>
            <b:First>T.</b:First>
            <b:Middle>W.</b:Middle>
          </b:Person>
          <b:Person>
            <b:Last>Shaw</b:Last>
            <b:First>J.</b:First>
            <b:Middle>D.</b:Middle>
          </b:Person>
          <b:Person>
            <b:Last>Hausknecht</b:Last>
            <b:First>J.</b:First>
            <b:Middle>P.</b:Middle>
          </b:Person>
        </b:NameList>
      </b:Author>
    </b:Author>
    <b:JournalName>Journal of Applied Psychology</b:JournalName>
    <b:Pages>1–34</b:Pages>
    <b:Volume>109</b:Volume>
    <b:Issue>1</b:Issue>
    <b:DOI>https://doi.org/10.1037/apl0001198</b:DOI>
    <b:RefOrder>15</b:RefOrder>
  </b:Source>
  <b:Source>
    <b:Tag>Chi22</b:Tag>
    <b:SourceType>Book</b:SourceType>
    <b:Guid>{E607A60F-5554-4895-BDA4-3A9EDF9F3F97}</b:Guid>
    <b:Title>Gestión del talento humano</b:Title>
    <b:Year>2022</b:Year>
    <b:Author>
      <b:Author>
        <b:NameList>
          <b:Person>
            <b:Last>Chiavenato</b:Last>
            <b:First>I.</b:First>
          </b:Person>
        </b:NameList>
      </b:Author>
    </b:Author>
    <b:Publisher>McGraw-Hill</b:Publisher>
    <b:Edition>6</b:Edition>
    <b:RefOrder>16</b:RefOrder>
  </b:Source>
  <b:Source>
    <b:Tag>Rob221</b:Tag>
    <b:SourceType>Book</b:SourceType>
    <b:Guid>{E98AD823-BD3F-4386-9C5B-E56863D5A830}</b:Guid>
    <b:Title>Comportamiento organizacional</b:Title>
    <b:Year>2022</b:Year>
    <b:Publisher>Pearson Educación</b:Publisher>
    <b:Author>
      <b:Author>
        <b:NameList>
          <b:Person>
            <b:Last>Robbins</b:Last>
            <b:First>S.</b:First>
          </b:Person>
          <b:Person>
            <b:Last>Judge</b:Last>
            <b:First>T.</b:First>
          </b:Person>
        </b:NameList>
      </b:Author>
    </b:Author>
    <b:Edition>18</b:Edition>
    <b:RefOrder>17</b:RefOrder>
  </b:Source>
  <b:Source>
    <b:Tag>DeW18</b:Tag>
    <b:SourceType>JournalArticle</b:SourceType>
    <b:Guid>{C1A87DDD-82EB-439B-A4B1-57BD55B6D900}</b:Guid>
    <b:Author>
      <b:Author>
        <b:NameList>
          <b:Person>
            <b:Last>De Winne</b:Last>
            <b:First>S.</b:First>
          </b:Person>
          <b:Person>
            <b:Last>Marescaux</b:Last>
            <b:First>E.</b:First>
          </b:Person>
          <b:Person>
            <b:Last>Sels</b:Last>
            <b:First>L.</b:First>
          </b:Person>
          <b:Person>
            <b:Last>Van Beveren</b:Last>
            <b:First>I.</b:First>
          </b:Person>
          <b:Person>
            <b:Last>Vanormelingen</b:Last>
            <b:First>S.</b:First>
          </b:Person>
        </b:NameList>
      </b:Author>
    </b:Author>
    <b:Title>The impact of employee turnover and turnover volatility on labor productivity: A longitudinal study</b:Title>
    <b:Year>2018</b:Year>
    <b:Volume>30</b:Volume>
    <b:Pages>3049-3079</b:Pages>
    <b:DOI>https://doi.org/10.1080/09585192.2018.1449129</b:DOI>
    <b:JournalName>The International Journal of Human Resource Management</b:JournalName>
    <b:RefOrder>18</b:RefOrder>
  </b:Source>
  <b:Source>
    <b:Tag>Kar24</b:Tag>
    <b:SourceType>JournalArticle</b:SourceType>
    <b:Guid>{8503E76D-F3F3-4FA8-BC2A-8FE78898122E}</b:Guid>
    <b:Author>
      <b:Author>
        <b:NameList>
          <b:Person>
            <b:Last>Karatepe</b:Last>
            <b:First>O.</b:First>
            <b:Middle>M.</b:Middle>
          </b:Person>
          <b:Person>
            <b:Last>Rezapouraghdam</b:Last>
            <b:First>H.</b:First>
          </b:Person>
          <b:Person>
            <b:Last>Hassannia</b:Last>
            <b:First>R.</b:First>
          </b:Person>
        </b:NameList>
      </b:Author>
    </b:Author>
    <b:Title>Job insecurity, burnout, and turnover intention in service organizations: The mediating role of work engagement</b:Title>
    <b:JournalName>International Journal of Contemporary Hospitality Management</b:JournalName>
    <b:Year>2024</b:Year>
    <b:Pages>455–474</b:Pages>
    <b:Volume>36</b:Volume>
    <b:Issue>2</b:Issue>
    <b:DOI>https://doi.org/10.1108/IJCHM-05-2023-0618</b:DOI>
    <b:RefOrder>19</b:RefOrder>
  </b:Source>
  <b:Source>
    <b:Tag>Pér23</b:Tag>
    <b:SourceType>JournalArticle</b:SourceType>
    <b:Guid>{9D3A4BC2-4B65-49CB-BA28-A05BEA96ED69}</b:Guid>
    <b:Author>
      <b:Author>
        <b:NameList>
          <b:Person>
            <b:Last>Pérez</b:Last>
            <b:First>J.</b:First>
          </b:Person>
          <b:Person>
            <b:Last>Ramírez</b:Last>
            <b:First>L.</b:First>
          </b:Person>
        </b:NameList>
      </b:Author>
    </b:Author>
    <b:Title>Rotación laboral y clima organizacional en instituciones públicas latinoamericanas</b:Title>
    <b:JournalName>Revista Latinoamericana de Administración Pública</b:JournalName>
    <b:Year>2023</b:Year>
    <b:Pages>45–61</b:Pages>
    <b:Volume>15</b:Volume>
    <b:Issue>2</b:Issue>
    <b:RefOrder>20</b:RefOrder>
  </b:Source>
  <b:Source>
    <b:Tag>Sal25</b:Tag>
    <b:SourceType>JournalArticle</b:SourceType>
    <b:Guid>{D4CFF315-B660-40F3-96F5-4F88601BAFE0}</b:Guid>
    <b:Author>
      <b:Author>
        <b:NameList>
          <b:Person>
            <b:Last>Salgado</b:Last>
            <b:First>E.</b:First>
          </b:Person>
          <b:Person>
            <b:Last>Méndez</b:Last>
            <b:First>P.</b:First>
          </b:Person>
          <b:Person>
            <b:Last>Rojas</b:Last>
            <b:First>L.</b:First>
          </b:Person>
        </b:NameList>
      </b:Author>
    </b:Author>
    <b:Title>Rotación laboral y desgaste ocupacional en instituciones públicas de América Latina</b:Title>
    <b:JournalName>Revista Internacional de Gestión Organizacional</b:JournalName>
    <b:Year>2025</b:Year>
    <b:Pages>66–84</b:Pages>
    <b:Volume>19</b:Volume>
    <b:Issue>1</b:Issue>
    <b:DOI>https://doi.org/10.55867/rigo.v19i1.1442</b:DOI>
    <b:RefOrder>21</b:RefOrder>
  </b:Source>
  <b:Source>
    <b:Tag>Kim231</b:Tag>
    <b:SourceType>JournalArticle</b:SourceType>
    <b:Guid>{C50FAA00-1C10-454B-918D-27E79A0A7E6B}</b:Guid>
    <b:Author>
      <b:Author>
        <b:NameList>
          <b:Person>
            <b:Last>Kim</b:Last>
            <b:First>S.</b:First>
          </b:Person>
          <b:Person>
            <b:Last>Fernandez</b:Last>
            <b:First>S.</b:First>
          </b:Person>
        </b:NameList>
      </b:Author>
    </b:Author>
    <b:Title>Employee engagement and organizational commitment in public organizations: Evidence from public sector employees</b:Title>
    <b:JournalName>Public Personnel Management</b:JournalName>
    <b:Year>2023</b:Year>
    <b:Pages>389–412</b:Pages>
    <b:Volume>52</b:Volume>
    <b:Issue>3</b:Issue>
    <b:DOI>https://doi.org/10.1177/00910260231100478</b:DOI>
    <b:RefOrder>22</b:RefOrder>
  </b:Source>
  <b:Source>
    <b:Tag>AlE24</b:Tag>
    <b:SourceType>JournalArticle</b:SourceType>
    <b:Guid>{B3DFF4EC-9922-41C3-B60E-599ECC7EABA6}</b:Guid>
    <b:Title>Knowledge retention and employee turnover in public sector organizations: Implications for organizational sustainability</b:Title>
    <b:Year>2024</b:Year>
    <b:Author>
      <b:Author>
        <b:NameList>
          <b:Person>
            <b:Last>Al-Emadi</b:Last>
            <b:First>A.</b:First>
            <b:Middle>A.</b:Middle>
          </b:Person>
          <b:Person>
            <b:Last>Schwabenland</b:Last>
            <b:First>C.</b:First>
          </b:Person>
          <b:Person>
            <b:Last>Wei</b:Last>
            <b:First>Q.</b:First>
          </b:Person>
        </b:NameList>
      </b:Author>
    </b:Author>
    <b:JournalName>Public Organization Review</b:JournalName>
    <b:Pages>77–95</b:Pages>
    <b:Volume>24</b:Volume>
    <b:Issue>1</b:Issue>
    <b:DOI>https://doi.org/10.1007/s11115-023-00681-2</b:DOI>
    <b:RefOrder>23</b:RefOrder>
  </b:Source>
  <b:Source>
    <b:Tag>Fer231</b:Tag>
    <b:SourceType>JournalArticle</b:SourceType>
    <b:Guid>{2110E506-FAF5-436B-80F3-1374F047E3B8}</b:Guid>
    <b:Title>Employee turnover, organizational memory and knowledge transfer in public institutions</b:Title>
    <b:Year>2023</b:Year>
    <b:Author>
      <b:Author>
        <b:NameList>
          <b:Person>
            <b:Last>Ferreira</b:Last>
            <b:First>A.</b:First>
            <b:Middle>I.</b:Middle>
          </b:Person>
          <b:Person>
            <b:Last>Martinez</b:Last>
            <b:First>L.</b:First>
            <b:Middle>F.</b:Middle>
          </b:Person>
          <b:Person>
            <b:Last>Lamelas</b:Last>
            <b:First>J.</b:First>
            <b:Middle>P.</b:Middle>
          </b:Person>
        </b:NameList>
      </b:Author>
    </b:Author>
    <b:JournalName>Journal of Knowledge Management</b:JournalName>
    <b:Pages>1341–1359</b:Pages>
    <b:Volume>27</b:Volume>
    <b:Issue>5</b:Issue>
    <b:DOI>https://doi.org/10.1108/JKM-09-2022-0714</b:DOI>
    <b:RefOrder>24</b:RefOrder>
  </b:Source>
  <b:Source>
    <b:Tag>Cre22</b:Tag>
    <b:SourceType>Book</b:SourceType>
    <b:Guid>{DF727631-3FC2-4BEE-9FD6-4564C793D49D}</b:Guid>
    <b:Author>
      <b:Author>
        <b:NameList>
          <b:Person>
            <b:Last>Creswell</b:Last>
            <b:First>J.</b:First>
            <b:Middle>W.</b:Middle>
          </b:Person>
          <b:Person>
            <b:Last>Plano Clark</b:Last>
            <b:First>V.</b:First>
            <b:Middle>L.</b:Middle>
          </b:Person>
        </b:NameList>
      </b:Author>
    </b:Author>
    <b:Title>Designing and conducting mixed methods research</b:Title>
    <b:Year>2022</b:Year>
    <b:Publisher>SAGE Publications</b:Publisher>
    <b:Edition>4</b:Edition>
    <b:RefOrder>25</b:RefOrder>
  </b:Source>
  <b:Source>
    <b:Tag>Boo24</b:Tag>
    <b:SourceType>JournalArticle</b:SourceType>
    <b:Guid>{14469B90-5977-411F-AD78-FA617EF30D81}</b:Guid>
    <b:Title>Human resource management and organizational resilience: A systematic review and future research agenda</b:Title>
    <b:Year>2024</b:Year>
    <b:Author>
      <b:Author>
        <b:NameList>
          <b:Person>
            <b:Last>Boon</b:Last>
            <b:First>C.</b:First>
          </b:Person>
          <b:Person>
            <b:Last>Den Hartog</b:Last>
            <b:First>D.</b:First>
            <b:Middle>N.</b:Middle>
          </b:Person>
          <b:Person>
            <b:Last>Lepak</b:Last>
            <b:First>D.</b:First>
            <b:Middle>P.</b:Middle>
          </b:Person>
        </b:NameList>
      </b:Author>
    </b:Author>
    <b:JournalName>Human Resource Management Review</b:JournalName>
    <b:Pages>100972</b:Pages>
    <b:Volume>34</b:Volume>
    <b:Issue>1</b:Issue>
    <b:DOI>https://doi.org/10.1016/j.hrmr.2023.100972</b:DOI>
    <b:RefOrder>26</b:RefOrder>
  </b:Source>
  <b:Source>
    <b:Tag>Sak22</b:Tag>
    <b:SourceType>JournalArticle</b:SourceType>
    <b:Guid>{638E45EC-F24B-48D9-9135-4614BA0CF71F}</b:Guid>
    <b:Author>
      <b:Author>
        <b:NameList>
          <b:Person>
            <b:Last>Saks</b:Last>
            <b:First>A.</b:First>
            <b:Middle>M.</b:Middle>
          </b:Person>
        </b:NameList>
      </b:Author>
    </b:Author>
    <b:Title>Caring human resources management and employee engagement</b:Title>
    <b:JournalName>Human Resource Management Review</b:JournalName>
    <b:Year>2022</b:Year>
    <b:Pages>100835</b:Pages>
    <b:Volume>32</b:Volume>
    <b:Issue>3</b:Issue>
    <b:DOI>https://doi.org/10.1016/j.hrmr.2021.100835</b:DOI>
    <b:RefOrder>27</b:RefOrder>
  </b:Source>
</b:Sources>
</file>

<file path=customXml/itemProps1.xml><?xml version="1.0" encoding="utf-8"?>
<ds:datastoreItem xmlns:ds="http://schemas.openxmlformats.org/officeDocument/2006/customXml" ds:itemID="{FC60D502-128C-F246-AAED-9EB296CFB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20</Pages>
  <Words>8242</Words>
  <Characters>45337</Characters>
  <Application>Microsoft Office Word</Application>
  <DocSecurity>0</DocSecurity>
  <Lines>377</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isaac barros bastidas</dc:creator>
  <cp:keywords>docId:A9958E8559591AB61BE5F21C5F61F9E3</cp:keywords>
  <dc:description/>
  <cp:lastModifiedBy>carlos isaac barros bastidas</cp:lastModifiedBy>
  <cp:revision>8</cp:revision>
  <cp:lastPrinted>2026-09-22T14:51:00Z</cp:lastPrinted>
  <dcterms:created xsi:type="dcterms:W3CDTF">2026-09-22T14:51:00Z</dcterms:created>
  <dcterms:modified xsi:type="dcterms:W3CDTF">2026-09-28T22:57:00Z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f2b132ba-9ffe-38b8-bbba-7513b2d7b381</vt:lpwstr>
  </property>
  <property fmtid="{D5CDD505-2E9C-101B-9397-08002B2CF9AE}" pid="4" name="Mendeley Citation Style_1">
    <vt:lpwstr>http://www.zotero.org/styles/apa</vt:lpwstr>
  </property>
</Properties>
</file>